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GDolmG — Beeidigung des Dolmetschers</w:t>
      </w:r>
    </w:p>
    <w:p>
      <w:r>
        <w:rPr>
          <w:color w:val="555555"/>
          <w:sz w:val="18"/>
        </w:rPr>
        <w:t xml:space="preserve">Gerichtsdolmetschergesetz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Der Dolmetscher hat einen Eid dahin zu leisten, dass er treu und gewissenhaft übertragen werde.</w:t>
      </w:r>
    </w:p>
    <w:p>
      <w:r>
        <w:t xml:space="preserve">(2) Auf die Beeidigung sind im Übrigen die Vorschriften des § 189 Absatz 1 Satz 2 und 3 des Gerichtsverfassungsgesetzes anzuwenden.</w:t>
      </w:r>
    </w:p>
    <w:p>
      <w:r>
        <w:t xml:space="preserve">(3) Dem Dolmetscher ist es untersagt, Tatsachen, die ihm bei der Ausübung seiner Tätigkeit zur Kenntnis gelangen, Dritten unbefugt mitzuteilen oder sie zum Nachteil anderer zu verwerten.</w:t>
      </w:r>
    </w:p>
    <w:p>
      <w:r>
        <w:t xml:space="preserve">(4) Über die allgemeine Beeidigung ist</w:t>
      </w:r>
    </w:p>
    <w:p>
      <w:pPr>
        <w:ind w:left="420"/>
      </w:pPr>
      <w:r>
        <w:t xml:space="preserve">1. eine Niederschrift zu fertigen und</w:t>
      </w:r>
    </w:p>
    <w:p>
      <w:pPr>
        <w:ind w:left="420"/>
      </w:pPr>
      <w:r>
        <w:t xml:space="preserve">2. dem Dolmetscher eine Urkunde auszuhändigen.</w:t>
      </w:r>
    </w:p>
    <w:p>
      <w:r>
        <w:rPr>
          <w:color w:val="555555"/>
          <w:sz w:val="17"/>
        </w:rPr>
        <w:t xml:space="preserve">Zitiervorschlag: § 5 GDolmG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https://recht.nulegal.eu/gesetze/GDolmG/5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