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GDolmG — Alternativer Befähigungsnachweis; gleichwertige Qualifikationen nach der Berufsanerkennungsrichtlinie</w:t>
      </w:r>
    </w:p>
    <w:p>
      <w:r>
        <w:rPr>
          <w:color w:val="555555"/>
          <w:sz w:val="18"/>
        </w:rPr>
        <w:t xml:space="preserve">Gerichtsdolmetschergesetz</w:t>
      </w:r>
    </w:p>
    <w:p>
      <w:r>
        <w:rPr>
          <w:color w:val="555555"/>
          <w:sz w:val="18"/>
        </w:rPr>
        <w:t xml:space="preserve">Stand: 01.01.2023 (konsolidierte Textfassung, kein amtliches Inkrafttretensdatum)</w:t>
      </w:r>
    </w:p>
    <w:p>
      <w:r>
        <w:t xml:space="preserve">(1) Die nach § 3 Absatz 1 Nummer 6 erforderlichen Fachkenntnisse können statt mit einer bestandenen Prüfung nach § 3 Absatz 2 Satz 1 auf andere Weise nachgewiesen werden, wenn ein besonderes Bedürfnis für die allgemeine Beeidigung besteht und</w:t>
      </w:r>
    </w:p>
    <w:p>
      <w:pPr>
        <w:ind w:left="420"/>
      </w:pPr>
      <w:r>
        <w:t xml:space="preserve">1. für die zu beeidigende Sprache im Inland keine Prüfung nach § 3 Absatz 2 Satz 1 Nummer 1 angeboten wird oder</w:t>
      </w:r>
    </w:p>
    <w:p>
      <w:pPr>
        <w:ind w:left="420"/>
      </w:pPr>
      <w:r>
        <w:t xml:space="preserve">2. es für eine nach § 3 Absatz 2 Satz 1 Nummer 2 im Ausland bestandene Prüfung keine von einer zuständigen deutschen Stelle als vergleichbar eingestufte Dolmetscherprüfung gibt.</w:t>
      </w:r>
    </w:p>
    <w:p>
      <w:r>
        <w:t xml:space="preserve">(2) Fachkenntnisse sind in geeigneter Weise nachzuweisen. Als Nachweis im Sinne des Absatzes 1 für Sprachkenntnisse der deutschen sowie der zu beeidigenden Sprache kommen insbesondere in Betracht:</w:t>
      </w:r>
    </w:p>
    <w:p>
      <w:pPr>
        <w:ind w:left="420"/>
      </w:pPr>
      <w:r>
        <w:t xml:space="preserve">1. die Urkunde über ein abgeschlossenes Studium an einer staatlich anerkannten Hochschule im Ausland, ohne dass der Abschluss von einer zuständigen deutschen Stelle als vergleichbar eingestuft worden ist,</w:t>
      </w:r>
    </w:p>
    <w:p>
      <w:pPr>
        <w:ind w:left="420"/>
      </w:pPr>
      <w:r>
        <w:t xml:space="preserve">2. ein C2-Sprachzertifikat des Gemeinsamen Europäischen Referenzrahmens für Sprachen eines staatlich anerkannten Sprachinstituts,</w:t>
      </w:r>
    </w:p>
    <w:p>
      <w:pPr>
        <w:ind w:left="420"/>
      </w:pPr>
      <w:r>
        <w:t xml:space="preserve">3. das Zeugnis einer Industrie- und Handelskammer über den Erwerb des anerkannten Fortbildungsabschlusses Geprüfter Übersetzer oder Geprüfte Übersetzerin nach der Übersetzerprüfungsverordnung vom 8. Mai 2017 (BGBl. I S. 1159) oder</w:t>
      </w:r>
    </w:p>
    <w:p>
      <w:pPr>
        <w:ind w:left="420"/>
      </w:pPr>
      <w:r>
        <w:t xml:space="preserve">4. der Nachweis über das Bestehen eines staatlichen Verfahrens zur Überprüfung der Sprachkenntnisse.</w:t>
      </w:r>
    </w:p>
    <w:p>
      <w:r>
        <w:t xml:space="preserve">(3) Bei Antragstellern, deren Qualifikation im Vollzug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2019/608 (ABl. L 104 vom 15.4.2019, S. 1) geändert worden ist, als gleichwertig anerkannt wurde, ist die Voraussetzung des § 3 Absatz 1 Nummer 6 nicht nochmals nachzuprüfen, soweit im Herkunftsland gleichwertige oder vergleichbare Anforderungen an die Ausbildung und Prüfung gestellt wurden. Antragsteller, deren Qualifikation nicht im Sinne des Satzes 1 als gleichwertig anerkannt wurde, können die fehlenden Kenntnisse und Ausbildungsinhalte durch erfolgreichen Abschluss der Eignungsprüfung oder eines Anpassungslehrgangs ausgleichen, wenn die Anforderungen an die Ausbildung und Prüfung im Herkunftsland nur teilweise gleichwertig oder teilweise vergleichbar sind.</w:t>
      </w:r>
    </w:p>
    <w:p>
      <w:r>
        <w:rPr>
          <w:color w:val="555555"/>
          <w:sz w:val="17"/>
        </w:rPr>
        <w:t xml:space="preserve">Zitiervorschlag: § 4 GDolmG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https://recht.nulegal.eu/gesetze/GDolmG/4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