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GDolmG — Zuständigkeit für die allgemeine Beeidigung; Verordnungsermächtigung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die allgemeine Beeidigung von gerichtlichen Dolmetschern ist zuständig:</w:t>
      </w:r>
    </w:p>
    <w:p>
      <w:pPr>
        <w:ind w:left="420"/>
      </w:pPr>
      <w:r>
        <w:t xml:space="preserve">1. das Oberlandesgericht, in dessen Bezirk der Dolmetscher seinen Wohnsitz oder in Ermangelung eines solchen seine berufliche Niederlassung hat; bei einem Wohnsitz oder einer beruflichen Niederlassung in Berlin das Kammergericht Berlin,</w:t>
      </w:r>
    </w:p>
    <w:p>
      <w:pPr>
        <w:ind w:left="420"/>
      </w:pPr>
      <w:r>
        <w:t xml:space="preserve">2. im Übrigen das Kammergericht Berlin.</w:t>
      </w:r>
    </w:p>
    <w:p>
      <w:r>
        <w:t xml:space="preserve">(2) Die Landesregierungen werden ermächtigt, die Zuständigkeit nach Absatz 1 durch Rechtsverordnung abweichend zu regeln. Die Landesregierungen können die Ermächtigungen auf die Landesjustizverwaltungen übertragen.</w:t>
      </w:r>
    </w:p>
    <w:p>
      <w:r>
        <w:rPr>
          <w:color w:val="555555"/>
          <w:sz w:val="17"/>
        </w:rPr>
        <w:t xml:space="preserve">Zitiervorschlag: § 2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