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GDolmG — Anzeigepflichten des allgemein beeidigten Dolmetschers</w:t>
      </w:r>
    </w:p>
    <w:p>
      <w:r>
        <w:rPr>
          <w:color w:val="555555"/>
          <w:sz w:val="18"/>
        </w:rPr>
        <w:t xml:space="preserve">Gerichtsdolmetschergesetz</w:t>
      </w:r>
    </w:p>
    <w:p>
      <w:r>
        <w:rPr>
          <w:color w:val="555555"/>
          <w:sz w:val="18"/>
        </w:rPr>
        <w:t xml:space="preserve">Stand: 01.01.2023 (konsolidierte Textfassung, kein amtliches Inkrafttretensdatum)</w:t>
      </w:r>
    </w:p>
    <w:p>
      <w:r>
        <w:t xml:space="preserve">(1) Der allgemein beeidigte Dolmetscher hat der nach § 2 zuständigen Stelle unverzüglich die Änderung seiner personenbezogenen Daten gemäß § 9 Absatz 1 Satz 2 und 3 sowie alle sonstigen Änderungen mitzuteilen, die für die Tätigkeit als allgemein beeidigter Dolmetscher erheblich sind, wie insbesondere die Verhängung einer gerichtlichen Strafe oder einer Maßregel der Sicherung und Besserung gegen ihn, seine Eintragung in das Schuldnerverzeichnis sowie die Eröffnung eines Insolvenzverfahrens über sein Vermögen.</w:t>
      </w:r>
    </w:p>
    <w:p>
      <w:r>
        <w:t xml:space="preserve">(2) Verlegt der allgemein beeidigte Dolmetscher seinen Wohnsitz oder seine berufliche Niederlassung in den Bezirk eines anderen Oberlandesgerichts, so hat die Mitteilung nach Absatz 1 an die nach § 2 nunmehr zuständige Stelle zu erfolgen. Die Rechte und Pflichten zur Datenverwendung nach § 9 gehen insofern auf die nunmehr zuständige Stelle über.</w:t>
      </w:r>
    </w:p>
    <w:p>
      <w:r>
        <w:rPr>
          <w:color w:val="555555"/>
          <w:sz w:val="17"/>
        </w:rPr>
        <w:t xml:space="preserve">Zitiervorschlag: § 10 GDolmG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https://recht.nulegal.eu/gesetze/GDolmG/10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