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GDolmG — Allgemeine Beeidigung gerichtlicher Dolmetscher</w:t>
      </w:r>
    </w:p>
    <w:p>
      <w:r>
        <w:rPr>
          <w:color w:val="555555"/>
          <w:sz w:val="18"/>
        </w:rPr>
        <w:t xml:space="preserve">Gerichtsdolmetschergesetz</w:t>
      </w:r>
    </w:p>
    <w:p>
      <w:r>
        <w:rPr>
          <w:color w:val="555555"/>
          <w:sz w:val="18"/>
        </w:rPr>
        <w:t xml:space="preserve">Stand: 20.12.2025 (konsolidierte Textfassung, kein amtliches Inkrafttretensdatum)</w:t>
      </w:r>
    </w:p>
    <w:p>
      <w:r>
        <w:t xml:space="preserve">Dolmetscher, die nach § 185 oder § 186 des Gerichtsverfassungsgesetzes, jeweils auch in Verbindung mit § 55 der Verwaltungsgerichtsordnung, § 52 Absatz 1 der Finanzgerichtsordnung, § 9 Absatz 2 des Arbeitsgerichtsgesetzes oder § 61 Absatz 1 des Sozialgerichtsgesetzes, zur Sprachenübertragung in Gerichtsverhandlungen zuzuziehen sind, werden nach den Vorschriften dieses Gesetzes allgemein beeidigt. § 189 Absatz 1 des Gerichtsverfassungsgesetzes bleibt unberührt.</w:t>
      </w:r>
    </w:p>
    <w:p>
      <w:r>
        <w:rPr>
          <w:color w:val="555555"/>
          <w:sz w:val="17"/>
        </w:rPr>
        <w:t xml:space="preserve">Zitiervorschlag: § 1 GDolmG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https://recht.nulegal.eu/gesetze/GDolmG/1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