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GDPO (Bayern)</w:t>
      </w:r>
    </w:p>
    <w:p>
      <w:r>
        <w:rPr>
          <w:color w:val="555555"/>
          <w:sz w:val="18"/>
        </w:rPr>
        <w:t xml:space="preserve">Prüfungsordnung für Gebärdensprachdolmetscherinnen und Gebärdensprachdolmetscher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15 Abs. 1 des Gesetzes über die öffentliche Bestellung und allgemeine Beeidigung von Dolmetschern und Übersetzern – Dolmetschergesetz – DolmG – (BayRS 300-12-1-J), geändert durch Gesetz vom 10. Februar 2000 (GVBl S. 46), sowie Art. 21 Abs. 1 Satz 1 des Kostengesetzes vom 20. Februar 1998 (GVBl S. 43, BayRS 2013-1-1-F), zuletzt geändert durch Art. 21 des Gesetzes vom 24. Dezember 2002 (GVBl S. 937), erlässt das Bayerische Staatsministerium für Unterricht und Kultus im Einvernehmen mit den Bayerischen Staatsministerien der Justiz und der Finanzen folgende Verordnung:</w:t>
      </w:r>
    </w:p>
    <w:p>
      <w:r>
        <w:rPr>
          <w:color w:val="555555"/>
          <w:sz w:val="17"/>
        </w:rPr>
        <w:t xml:space="preserve">Zitiervorschlag: Eingangsformel GDPO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https://recht.nulegal.eu/gesetze/GDPO/eingangsformel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