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GDNG — Strafvorschriften</w:t>
      </w:r>
    </w:p>
    <w:p>
      <w:r>
        <w:rPr>
          <w:color w:val="555555"/>
          <w:sz w:val="18"/>
        </w:rPr>
        <w:t xml:space="preserve">Gesundheitsdatennutzungsgesetz</w:t>
      </w:r>
    </w:p>
    <w:p>
      <w:r>
        <w:rPr>
          <w:color w:val="555555"/>
          <w:sz w:val="18"/>
        </w:rPr>
        <w:t xml:space="preserve">Stand: 26.03.2024 (konsolidierte Textfassung, kein amtliches Inkrafttretensdatum)</w:t>
      </w:r>
    </w:p>
    <w:p>
      <w:r>
        <w:t xml:space="preserve">(1) Mit Freiheitsstrafe bis zu einem Jahr oder mit Geldstrafe wird bestraft, wer</w:t>
      </w:r>
    </w:p>
    <w:p>
      <w:pPr>
        <w:ind w:left="420"/>
      </w:pPr>
      <w:r>
        <w:t xml:space="preserve">1. entgegen § 7 Absatz 1 Gesundheitsdaten nutzt, weitergibt oder</w:t>
      </w:r>
    </w:p>
    <w:p>
      <w:pPr>
        <w:ind w:left="420"/>
      </w:pPr>
      <w:r>
        <w:t xml:space="preserve">2. entgegen § 7 Absatz 2 die bereitgestellten Daten verarbeitet.</w:t>
      </w:r>
    </w:p>
    <w:p>
      <w:r>
        <w:t xml:space="preserve">(2) Mit Freiheitsstrafe bis zu drei Jahren oder mit Geldstrafe wird bestraft, wer in den Fällen des Absatzes 1 gegen Entgelt oder in der Absicht handelt, sich oder einen anderen zu bereichern oder einen anderen zu schädigen.</w:t>
      </w:r>
    </w:p>
    <w:p>
      <w:r>
        <w:t xml:space="preserve">(3) Die Tat wird nur auf Antrag verfolgt. Antragsberechtigt sind der oder die Betroffene, der oder die nach der Verordnung (EU) 2016/679 Verantwortliche, der oder die Bundesbeauftragte für den Datenschutz und die Informationsfreiheit oder die zuständige Datenschutzaufsichtsbehörde.</w:t>
      </w:r>
    </w:p>
    <w:p>
      <w:r>
        <w:rPr>
          <w:color w:val="555555"/>
          <w:sz w:val="17"/>
        </w:rPr>
        <w:t xml:space="preserve">Zitiervorschlag: § 9 GDNG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https://recht.nulegal.eu/gesetze/GDNG/9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