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GDNG — Registrierungspflicht; Publikationspflicht von Forschungsergebnissen bei Verarbeitung von Gesundheitsdaten im öffentlichen Interesse</w:t>
      </w:r>
    </w:p>
    <w:p>
      <w:r>
        <w:rPr>
          <w:color w:val="555555"/>
          <w:sz w:val="18"/>
        </w:rPr>
        <w:t xml:space="preserve">Gesundheitsdatennutzungsgesetz</w:t>
      </w:r>
    </w:p>
    <w:p>
      <w:r>
        <w:rPr>
          <w:color w:val="555555"/>
          <w:sz w:val="18"/>
        </w:rPr>
        <w:t xml:space="preserve">Stand: 26.03.2024 (konsolidierte Textfassung, kein amtliches Inkrafttretensdatum)</w:t>
      </w:r>
    </w:p>
    <w:p>
      <w:r>
        <w:t xml:space="preserve">Sofern in einem Forschungsvorhaben Gesundheitsdaten auf Grundlage dieses Gesetzes ohne die Einwilligung der betroffenen Personen zu Forschungszwecken verarbeitet werden, sind die für das Forschungsvorhaben Verantwortlichen verpflichtet, das Forschungsvorhaben vor Beginn der Datenverarbeitung in einem von der Weltgesundheitsorganisation anerkannten Primärregister für klinische Studien zu registrieren, sofern ein solches Primärregister die Registrierung des Forschungsvorhabens gestattet. Eine Registrierung nach Satz 1 ist entbehrlich, wenn das Forschungsvorhaben auf Grundlage eines Gesetzes bereits an anderer Stelle registriert wurde. Die für das Forschungsvorhaben Verantwortlichen sind verpflichtet, die Forschungsergebnisse innerhalb von 24 Monaten nach Abschluss des Forschungsvorhabens in anonymisierter Form und in einer für die Allgemeinheit zugänglichen Weise zu veröffentlichen und, sofern das Forschungsvorhaben nach Satz 1 registriert wurde, im jeweiligen Primärregister zu hinterlegen. Behörden können bestimmen, dass Forschungsvorhaben, die sie in Auftrag gegeben haben oder die unter ihrer Rechts- oder Fachaufsicht durchgeführt werden, abweichend von Satz 1 oder Satz 3 nicht registriert werden müssen oder deren Ergebnisse nicht oder erst zu einem späteren Zeitpunkt veröffentlicht werden müssen, sofern dies zum Schutz von besonderen öffentlichen Belangen gemäß § 3 des Informationsfreiheitsgesetzes erforderlich ist.</w:t>
      </w:r>
    </w:p>
    <w:p>
      <w:r>
        <w:rPr>
          <w:color w:val="555555"/>
          <w:sz w:val="17"/>
        </w:rPr>
        <w:t xml:space="preserve">Zitiervorschlag: § 8 GDNG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https://recht.nulegal.eu/gesetze/GDNG/8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