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GDNG — Weiterverarbeitung von Versorgungsdaten zur Qualitätssicherung, zur Förderung der Patientensicherheit und zu Forschungszwecken</w:t>
      </w:r>
    </w:p>
    <w:p>
      <w:r>
        <w:rPr>
          <w:color w:val="555555"/>
          <w:sz w:val="18"/>
        </w:rPr>
        <w:t xml:space="preserve">Gesundheitsdatennutzungsgesetz</w:t>
      </w:r>
    </w:p>
    <w:p>
      <w:r>
        <w:rPr>
          <w:color w:val="555555"/>
          <w:sz w:val="18"/>
        </w:rPr>
        <w:t xml:space="preserve">Stand: 26.03.2024 (konsolidierte Textfassung, kein amtliches Inkrafttretensdatum)</w:t>
      </w:r>
    </w:p>
    <w:p>
      <w:r>
        <w:t xml:space="preserve">(1) Datenverarbeitende Gesundheitseinrichtungen dürfen die bei ihnen gemäß Artikel 9 Absatz 2 Buchstabe h und i der Verordnung (EU) 2016/679 rechtmäßig gespeicherten Daten weiterverarbeiten, soweit dies erforderlich ist</w:t>
      </w:r>
    </w:p>
    <w:p>
      <w:pPr>
        <w:ind w:left="420"/>
      </w:pPr>
      <w:r>
        <w:t xml:space="preserve">1. zur Qualitätssicherung und zur Förderung der Patientensicherheit,</w:t>
      </w:r>
    </w:p>
    <w:p>
      <w:pPr>
        <w:ind w:left="420"/>
      </w:pPr>
      <w:r>
        <w:t xml:space="preserve">2. zur medizinischen, zur rehabilitativen und zur pflegerischen Forschung oder</w:t>
      </w:r>
    </w:p>
    <w:p>
      <w:pPr>
        <w:ind w:left="420"/>
      </w:pPr>
      <w:r>
        <w:t xml:space="preserve">3. zu statistischen Zwecken, einschließlich der Gesundheitsberichterstattung.</w:t>
      </w:r>
    </w:p>
    <w:p>
      <w:r>
        <w:t xml:space="preserve">Die nach Satz 1 weiterverarbeiteten, personenbezogenen Daten sind zu pseudonymisieren; sie sind zu anonymisieren, sobald dies im Rahmen der Weiterverarbeitung für den jeweiligen Zweck nach Satz 1 möglich ist. Sind mehrere natürliche Personen in der datenverarbeitenden Gesundheitseinrichtung tätig, hat die Gesundheitseinrichtung ein Rechte- und Rollenkonzept zu erstellen, das gewährleistet, dass nur befugte Personen die in Satz 1 genannten Daten weiterverarbeiten können sowie Weiterverarbeitungen protokolliert und unbefugte Verarbeitungen geahndet werden können. Daten, die nach Absatz 1 Satz 1 weiterverarbeitet werden, sind spätestens 30 Jahre nach Beginn der Weiterverarbeitung nach Absatz 1 Satz 1 zu löschen. § 14 des Transplantationsgesetzes ist zu beachten.</w:t>
      </w:r>
    </w:p>
    <w:p>
      <w:r>
        <w:t xml:space="preserve">(2) Die Ergebnisse der Weiterverarbeitung von Gesundheitsdaten nach Absatz 1 sind zu anonymisieren, sobald dies nach dem jeweiligen Zweck nach Absatz 1 Satz 1 möglich ist.</w:t>
      </w:r>
    </w:p>
    <w:p>
      <w:r>
        <w:t xml:space="preserve">(3) Die Weitergabe der personenbezogenen Daten an Dritte ist im Rahmen der Weiterverarbeitung nach Absatz 1 untersagt. Abweichend von Satz 1 ist die Weitergabe von personenbezogenen Daten im Rahmen der Weiterverarbeitung nach Absatz 1 zulässig, soweit die betroffene Person eingewilligt hat oder eine andere gesetzliche Vorschrift des Bundesrechts, des Landesrechts oder unmittelbar geltender Rechtsakte der Europäischen Union dies vorsieht. Die datenverarbeitenden Gesundheitseinrichtungen dürfen die gemäß Artikel 9 Absatz 2 Buchstabe h der Verordnung (EU) 2016/679 rechtmäßig gespeicherten Gesundheitsdaten anonymisieren, um die anonymisierten Daten zu den in Absatz 1 Satz 1 genannten Zwecken an Dritte zu übermitteln. Abweichend von Satz 1 ist eine gemeinsame Nutzung und Verarbeitung der in Absatz 1 Satz 1 genannten Daten zu den in Absatz 1 Satz 1 genannten Zwecken durch öffentlich geförderte Zusammenschlüsse von datenverarbeitenden Gesundheitseinrichtungen einschließlich Verbundforschungsvorhaben und Forschungspraxennetzwerken zulässig, wenn</w:t>
      </w:r>
    </w:p>
    <w:p>
      <w:pPr>
        <w:ind w:left="420"/>
      </w:pPr>
      <w:r>
        <w:t xml:space="preserve">1. die Verarbeitung zu den in Absatz 1 Satz 1 genannten Zwecken erforderlich ist,</w:t>
      </w:r>
    </w:p>
    <w:p>
      <w:pPr>
        <w:ind w:left="420"/>
      </w:pPr>
      <w:r>
        <w:t xml:space="preserve">2. die Anforderungen nach den Absätzen 1, 2 und 4 hinsichtlich der Verarbeitung eingehalten werden,</w:t>
      </w:r>
    </w:p>
    <w:p>
      <w:pPr>
        <w:ind w:left="420"/>
      </w:pPr>
      <w:r>
        <w:t xml:space="preserve">3. die Interessen des datenschutzrechtlich Verantwortlichen an der Verarbeitung die Interessen der betroffenen Person an einem Ausschluss der Verarbeitung erheblich überwiegen und</w:t>
      </w:r>
    </w:p>
    <w:p>
      <w:pPr>
        <w:ind w:left="420"/>
      </w:pPr>
      <w:r>
        <w:t xml:space="preserve">4. die zuständige Datenschutzaufsichtsbehörde der gemeinsamen Nutzung und Verarbeitung der Daten zugestimmt hat.</w:t>
      </w:r>
    </w:p>
    <w:p>
      <w:r>
        <w:t xml:space="preserve">Die Datenschutzaufsichtsbehörde soll innerhalb eines Monats über die Zustimmung nach Satz 4 Nummer 4 entscheiden.</w:t>
      </w:r>
    </w:p>
    <w:p>
      <w:r>
        <w:t xml:space="preserve">(4) Datenverarbeitende Gesundheitseinrichtungen, die nach Absatz 1 Daten verarbeiten, sind verpflichtet, öffentlich und allgemein in präziser, transparenter, leicht verständlicher und zugänglicher Form in einer klaren und einfachen Sprache über die Zwecke, für die nach Absatz 1 Daten weiterverarbeitet werden, zu informieren. Dabei ist auch über laufende Forschungsvorhaben und veröffentlichte Forschungsergebnisse zu informieren, die nach § 8 registriert oder veröffentlicht wurden. Auf Verlangen einer von der Verarbeitung zu den in Absatz 1 Satz 1 Nummer 2 oder 3 genannten Zwecken betroffenen Person ist die datenverarbeitende Gesundheitseinrichtung verpflichtet, über die Art, den Umfang und den konkreten Zweck der Verarbeitung der Daten zu den in Absatz 1 Satz 1 Nummer 2 oder Nummer 3 genannten Zwecken in präziser, transparenter, verständlicher und leicht zugänglicher Form in einer klaren und einfachen Sprache zu informieren.</w:t>
      </w:r>
    </w:p>
    <w:p>
      <w:r>
        <w:rPr>
          <w:color w:val="555555"/>
          <w:sz w:val="17"/>
        </w:rPr>
        <w:t xml:space="preserve">Zitiervorschlag: § 6 GDNG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https://recht.nulegal.eu/gesetze/GDNG/6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