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GDNG — Begriffsbestimmungen</w:t>
      </w:r>
    </w:p>
    <w:p>
      <w:r>
        <w:rPr>
          <w:color w:val="555555"/>
          <w:sz w:val="18"/>
        </w:rPr>
        <w:t xml:space="preserve">Gesundheitsdatennutzungsgesetz</w:t>
      </w:r>
    </w:p>
    <w:p>
      <w:r>
        <w:rPr>
          <w:color w:val="555555"/>
          <w:sz w:val="18"/>
        </w:rPr>
        <w:t xml:space="preserve">Stand: 26.03.2024 (konsolidierte Textfassung, kein amtliches Inkrafttretensdatum)</w:t>
      </w:r>
    </w:p>
    <w:p>
      <w:r>
        <w:t xml:space="preserve">Im Sinne dieses Gesetzes sind oder ist</w:t>
      </w:r>
    </w:p>
    <w:p>
      <w:pPr>
        <w:ind w:left="420"/>
      </w:pPr>
      <w:r>
        <w:t xml:space="preserve">1. „Gesundheitsdaten“ Gesundheitsdaten im Sinne des Artikels 4 Nummer 15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in der jeweils geltenden Fassung, einschließlich Gesundheitsdaten, die zugleich Sozialdaten nach § 67 des Zehnten Buches Sozialgesetzbuch sind;</w:t>
      </w:r>
    </w:p>
    <w:p>
      <w:pPr>
        <w:ind w:left="420"/>
      </w:pPr>
      <w:r>
        <w:t xml:space="preserve">2. „personenbezogene Daten“ personenbezogene Daten im Sinne des Artikels 4 Nummer 1 der Verordnung (EU) 2016/679;</w:t>
      </w:r>
    </w:p>
    <w:p>
      <w:pPr>
        <w:ind w:left="420"/>
      </w:pPr>
      <w:r>
        <w:t xml:space="preserve">3. „datenhaltende Stelle“ natürliche und juristische Personen einschließlich deren Zusammenschlüsse im Sinne von Datenplattformen oder Dateninfrastrukturen, die berechtigt oder verpflichtet sind, Gesundheitsdaten für Forschungszwecke und weitere in diesem Gesetz genannte Zwecke Dritten zur Verfügung zu stellen; dazu gehören insbesondere gesetzlich geregelte datenhaltende Stellen wie das Forschungsdatenzentrum Gesundheit nach § 303d des Fünften Buches Sozialgesetzbuch, das Zentrum für Krebsregisterdaten beim Robert Koch-Institut und die Plattform nach § 64e Absatz 9 des Fünften Buches Sozialgesetzbuch;</w:t>
      </w:r>
    </w:p>
    <w:p>
      <w:pPr>
        <w:ind w:left="420"/>
      </w:pPr>
      <w:r>
        <w:t xml:space="preserve">4. „Datennutzende“ natürliche und juristische Personen, die Zugang zu Gesundheitsdaten zu Forschungszwecken und weiteren in diesem Gesetz genannten Zwecken begehren oder erhalten haben;</w:t>
      </w:r>
    </w:p>
    <w:p>
      <w:pPr>
        <w:ind w:left="420"/>
      </w:pPr>
      <w:r>
        <w:t xml:space="preserve">5. „Forschungsvorhaben“ Vorhaben, bei denen Gesundheitsdaten zu den in Artikel 9 Absatz 2 Buchstabe j und Artikel 89 Absatz 1 Satz 1 und Absatz 2 der Verordnung (EU) 2016/679 genannten wissenschaftlichen Forschungszwecken verarbeitet werden; diese Gesundheitsdaten können auch Sozialdaten nach § 67 des Zehnten Buches Sozialgesetzbuch sein;</w:t>
      </w:r>
    </w:p>
    <w:p>
      <w:pPr>
        <w:ind w:left="420"/>
      </w:pPr>
      <w:r>
        <w:t xml:space="preserve">6. „Gesundheits- und Versorgungsforschung“ Forschungsvorhaben mit dem Ziel, die Gesundheit zu fördern, Krankheiten vorzubeugen, zu heilen und ihre Folgen zu vermindern, die Gesundheitsversorgung und -prävention zu verbessern sowie das Gesundheitswesen weiterzuentwickeln;</w:t>
      </w:r>
    </w:p>
    <w:p>
      <w:pPr>
        <w:ind w:left="420"/>
      </w:pPr>
      <w:r>
        <w:t xml:space="preserve">7. „datenverarbeitende Gesundheitseinrichtung“ Einrichtungen, in denen für Zwecke der Gesundheitsvorsorge oder der Arbeitsmedizin, für die Beurteilung der Arbeitsfähigkeit des Beschäftigten, für die medizinische Diagnostik oder für Zwecke der Versorgung oder Behandlung im Gesundheits- oder Sozialbereich Daten von oder unter der Verantwortung von Angehörigen eines Heilberufs verarbeitet werden, der für die Berufsausübung oder die Führung der Berufsbezeichnung eine staatlich geregelte Ausbildung erfordert;</w:t>
      </w:r>
    </w:p>
    <w:p>
      <w:pPr>
        <w:ind w:left="420"/>
      </w:pPr>
      <w:r>
        <w:t xml:space="preserve">8. „Sekundärdatennutzung“ die Weiterverarbeitung von Gesundheitsdaten zu anderen Zwecken als denjenigen, für die die Daten ursprünglich erhoben wurden.</w:t>
      </w:r>
    </w:p>
    <w:p>
      <w:r>
        <w:rPr>
          <w:color w:val="555555"/>
          <w:sz w:val="17"/>
        </w:rPr>
        <w:t xml:space="preserve">Zitiervorschlag: § 2 GDNG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