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GDG (Bayern) — Beurteilung der Dienstfähigkeit</w:t>
      </w:r>
    </w:p>
    <w:p>
      <w:r>
        <w:rPr>
          <w:color w:val="555555"/>
          <w:sz w:val="18"/>
        </w:rPr>
        <w:t xml:space="preserve">Gesundheitsdienstgesetz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die Beurteilung der Dienstunfähigkeit nach § 26 Abs. 1 Satz 1 des Beamtenstatusgesetzes (BeamtStG) und im Rahmen des Art. 65 Abs. 1 und 2 des Bayerischen Beamtengesetzes, der Wiederherstellung der Dienstfähigkeit sowie der begrenzten Dienstfähigkeit nach § 27 Abs. 1 BeamtStG sind für Beamte und Richter des Freistaates Bayern die Regierungen zuständig. Art. 2 Abs. 2 bleibt unberührt.</w:t>
      </w:r>
    </w:p>
    <w:p>
      <w:r>
        <w:rPr>
          <w:color w:val="555555"/>
          <w:sz w:val="17"/>
        </w:rPr>
        <w:t xml:space="preserve">Zitiervorschlag: Art 5 GDG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https://recht.nulegal.eu/gesetze/GDG/5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