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GDG (Bayern) — Ordnungswidrigkeiten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zweitausendfünfhundert Euro kann belegt werden, wer vorsätzlich oder fahrlässig</w:t>
      </w:r>
    </w:p>
    <w:p>
      <w:r>
        <w:t xml:space="preserve">1. entgegen einer in Art. 10 Abs. 3 oder Art. 16 Abs. 1 bis 4 genannten Anzeigepflicht eine Anzeige nicht, nicht richtig, nicht vollständig oder nicht rechtzeitig erstattet,</w:t>
      </w:r>
    </w:p>
    <w:p>
      <w:r>
        <w:t xml:space="preserve">2. entgegen Art. 14 Abs. 3 Satz 1 eine Auskunft nicht, nicht richtig, nicht vollständig oder nicht rechtzeitig erteilt oder</w:t>
      </w:r>
    </w:p>
    <w:p>
      <w:r>
        <w:t xml:space="preserve">3. einer der in Art. 14 Abs. 4 Satz 1 genannten Verpflichtungen zuwiderhandelt.</w:t>
      </w:r>
    </w:p>
    <w:p>
      <w:r>
        <w:t xml:space="preserve">(2) Mit Geldbuße bis zu fünftausend Euro kann belegt werden, wer vorsätzlich oder fahrlässig</w:t>
      </w:r>
    </w:p>
    <w:p>
      <w:r>
        <w:t xml:space="preserve">1. einer vollziehbaren Anordnung nach Art. 14 Abs. 2 Satz 1 Nr. 4 und Satz 2 sowie Art. 16 Abs. 5 zuwiderhandelt,</w:t>
      </w:r>
    </w:p>
    <w:p>
      <w:r>
        <w:t xml:space="preserve">2. entgegen Art. 25 Abs. 1 in Verbindung mit Art. 14 Abs. 3 Satz 1 eine Auskunft nicht, nicht richtig, nicht vollständig oder nicht rechtzeitig erteilt,</w:t>
      </w:r>
    </w:p>
    <w:p>
      <w:r>
        <w:t xml:space="preserve">3. entgegen Art. 25 Abs. 1 in Verbindung mit Art. 14 Abs. 4 Satz 1 die mit der Überwachung beauftragten Personen nicht unterstützt.</w:t>
      </w:r>
    </w:p>
    <w:p>
      <w:r>
        <w:t xml:space="preserve">(3) Mit Geldbuße bis zu zehntausend Euro kann belegt werden, wer vorsätzlich oder fahrlässig entgegen Art. 23 Abs. 1 Satz 2 eine Teilnahmebescheinigung oder eine amtlich beglaubigte Abschrift nicht oder nicht rechtzeitig dem Gesundheitsamt übersendet.</w:t>
      </w:r>
    </w:p>
    <w:p>
      <w:r>
        <w:rPr>
          <w:color w:val="555555"/>
          <w:sz w:val="17"/>
        </w:rPr>
        <w:t xml:space="preserve">Zitiervorschlag: Art 30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