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GDG (Bayern) — Untersagung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 hat die Vornahme von Schwangerschaftsabbrüchen in Einrichtungen nach Art. 22 Abs. 1 zu unterbinden, in denen ohne Erlaubnis Schwangerschaftsabbrüche vorgenommen werden. Sie kann die Vornahme von Schwangerschaftsabbrüchen in Einrichtungen nach Art. 22 Abs. 4 untersagen, wenn die Anforderungen nach Art. 22 Abs. 3 Satz 1 nicht oder nicht mehr erfüllt sind.</w:t>
      </w:r>
    </w:p>
    <w:p>
      <w:r>
        <w:t xml:space="preserve">(2) Die Regierung kann zur Aufklärung des Sachverhalts das persönliche Erscheinen der Beteiligten sowie von Zeugen und Sachverständigen anordnen und diese Personen vernehmen. Art. 65 BayVwVfG gilt entsprechend.</w:t>
      </w:r>
    </w:p>
    <w:p>
      <w:r>
        <w:rPr>
          <w:color w:val="555555"/>
          <w:sz w:val="17"/>
        </w:rPr>
        <w:t xml:space="preserve">Zitiervorschlag: Art 26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