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GDG (Bayern) — Befugnisse</w:t>
      </w:r>
    </w:p>
    <w:p>
      <w:r>
        <w:rPr>
          <w:color w:val="555555"/>
          <w:sz w:val="18"/>
        </w:rPr>
        <w:t xml:space="preserve">Gesundheitsdienstgesetz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Durchführung der Überwachungsaufgaben nach Art. 24 Abs. 1 haben die Gesundheitsämter die in Art. 14 Abs. 2 genannten Befugnisse. Art. 14 Abs. 2 und 3 gilt entsprechend. Abweichend von Art. 14 erstrecken sich die Befugnisse jedoch nicht auf das Betreten von Wohnräumen und auf Informationen patientenbezogener Art.</w:t>
      </w:r>
    </w:p>
    <w:p>
      <w:r>
        <w:t xml:space="preserve">(2) Zur Durchsetzung der Befugnisse nach Art. 14 Abs. 2 Satz 1 Nr. 1 bis 3 sowie zur Beseitigung festgestellter und zur Verhütung künftiger Verstöße bei der Überwachung nach Art. 24 Abs. 1 können die Gesundheitsämter in ihrem jeweiligen Zuständigkeitsbereich Anordnungen erlassen.</w:t>
      </w:r>
    </w:p>
    <w:p>
      <w:r>
        <w:rPr>
          <w:color w:val="555555"/>
          <w:sz w:val="17"/>
        </w:rPr>
        <w:t xml:space="preserve">Zitiervorschlag: Art 25 GDG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