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21 GDG (Bayern) — Staatliche Aufsicht</w:t>
      </w:r>
    </w:p>
    <w:p>
      <w:r>
        <w:rPr>
          <w:color w:val="555555"/>
          <w:sz w:val="18"/>
        </w:rPr>
        <w:t xml:space="preserve">Gesundheitsdienstgesetz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Ethikkommission bei der Bayerischen Landesärztekammer unterliegt in formeller Hinsicht der Aufsicht des Staatsministeriums. Es kann jederzeit Auskunft über alle Angelegenheiten und Entscheidungen der Ethikkommission verlangen.</w:t>
      </w:r>
    </w:p>
    <w:p>
      <w:r>
        <w:t xml:space="preserve">(2) Die Ethikkommissionen bei den staatlichen Hochschulen unterliegen in formeller Hinsicht der Aufsicht des Staatsministeriums für Wissenschaft und Kunst. Abs. 1 Satz 2 gilt entsprechend.</w:t>
      </w:r>
    </w:p>
    <w:p>
      <w:r>
        <w:rPr>
          <w:color w:val="555555"/>
          <w:sz w:val="17"/>
        </w:rPr>
        <w:t xml:space="preserve">Zitiervorschlag: Art 21 GDG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https://recht.nulegal.eu/gesetze/GDG/21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