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GDG (Bayern) — Unerlaubte Heilkundeausübung, Versicherungs- und Anzeigepflichten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Gesundheitsbehörden achten darauf, dass niemand unerlaubt die Heilkunde oder die Zahnheilkunde ausübt. Ergeben sich hierfür Anhaltspunkte, übermitteln sie diese den zuständigen Sicherheitsbehörden und speichern die erforderlichen Vorgangsdaten.</w:t>
      </w:r>
    </w:p>
    <w:p>
      <w:r>
        <w:t xml:space="preserve">(2) Die Angehörigen der gesetzlich geregelten Heilberufe, für die keine berufsständische Kammer eingerichtet ist, sind verpflichtet, sich gegen die aus der Ausübung ihres Berufs ergebenden Haftpflichtansprüche ausreichend zu versichern, sofern sie nicht bereits in vergleichbarem Umfang, insbesondere im Rahmen eines Anstellungs- oder Beamtenverhältnisses, gegen Haftpflichtansprüche abgesichert sind. Art. 18 Abs. 4 des Heilberufe-Kammergesetzes (HKaG) gilt entsprechend.</w:t>
      </w:r>
    </w:p>
    <w:p>
      <w:r>
        <w:t xml:space="preserve">(3) Die Angehörigen der in Abs. 2 Satz 1 genannten Heilberufe haben vorbehaltlich des Art. 16 Abs. 1 Beginn und Ende einer selbständigen Berufsausübung unverzüglich dem für den Ort der Niederlassung zuständigen Gesundheitsamt anzuzeigen. Zu Beginn der Berufsausübung ist</w:t>
      </w:r>
    </w:p>
    <w:p>
      <w:r>
        <w:t xml:space="preserve">1. die Anschrift der Niederlassung anzugeben und</w:t>
      </w:r>
    </w:p>
    <w:p>
      <w:r>
        <w:t xml:space="preserve">2. die Berechtigung zur Ausübung des Berufs oder zum Führen der Berufsbezeichnung und das Bestehen einer angemessenen Haftpflichtversicherung nach Abs. 2 Satz 1 nachzuweisen.</w:t>
      </w:r>
    </w:p>
    <w:p>
      <w:r>
        <w:t xml:space="preserve">Änderungen hinsichtlich der notwendigen Angaben sind der Behörde unverzüglich anzuzeigen.</w:t>
      </w:r>
    </w:p>
    <w:p>
      <w:r>
        <w:rPr>
          <w:color w:val="555555"/>
          <w:sz w:val="17"/>
        </w:rPr>
        <w:t xml:space="preserve">Zitiervorschlag: Art 10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