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73 GDBNDVerfSchVDV — Bestehen der mündlichen Abschlussprüfung</w:t>
      </w:r>
    </w:p>
    <w:p>
      <w:r>
        <w:rPr>
          <w:color w:val="555555"/>
          <w:sz w:val="18"/>
        </w:rPr>
        <w:t xml:space="preserve">Verordnung über den Vorbereitungsdienst für den gehobenen Dienst im Bundesnachrichtendienst und den gehobenen Dienst im Verfassungsschutz des Bundes</w:t>
      </w:r>
    </w:p>
    <w:p>
      <w:r>
        <w:rPr>
          <w:color w:val="555555"/>
          <w:sz w:val="18"/>
        </w:rPr>
        <w:t xml:space="preserve">Stand: 22.08.2019 (konsolidierte Textfassung, kein amtliches Inkrafttretensdatum)</w:t>
      </w:r>
    </w:p>
    <w:p>
      <w:r>
        <w:t xml:space="preserve">Die mündliche Abschlussprüfung hat bestanden, wer in der mündlichen Abschlussprüfung mindestens eine Rangpunktzahl von 5,00 erreicht hat.</w:t>
      </w:r>
    </w:p>
    <w:p>
      <w:r>
        <w:rPr>
          <w:color w:val="555555"/>
          <w:sz w:val="17"/>
        </w:rPr>
        <w:t xml:space="preserve">Zitiervorschlag: § 73 GDBNDVerfSchVDV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https://recht.nulegal.eu/gesetze/GDBNDVerfSchVDV/73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