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GDBNDVerfSchVDV — Zweck und Zeitpunkt der Diplomarbeit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Durch die Diplomarbeit sollen die Studierenden nachweisen, dass sie fähig sind, innerhalb einer vorgegebenen Frist eine für die Studienziele relevante Problemstellung mit wissenschaftlichen Methoden selbständig zu bearbeiten.</w:t>
      </w:r>
    </w:p>
    <w:p>
      <w:r>
        <w:t xml:space="preserve">(2) Die Diplomarbeit wird während der berufspraktischen Studienzeit II angefertigt.</w:t>
      </w:r>
    </w:p>
    <w:p>
      <w:r>
        <w:rPr>
          <w:color w:val="555555"/>
          <w:sz w:val="17"/>
        </w:rPr>
        <w:t xml:space="preserve">Zitiervorschlag: § 52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