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GDBNDVerfSchVDV — Praktikumsordnungen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Hochschule erlässt für jede Fachrichtung im Einvernehmen mit der zuständigen Dienstbehörde eine Praktikumsordnung.</w:t>
      </w:r>
    </w:p>
    <w:p>
      <w:r>
        <w:t xml:space="preserve">(2) Die Praktikumsordnung regelt insbesondere</w:t>
      </w:r>
    </w:p>
    <w:p>
      <w:pPr>
        <w:ind w:left="420"/>
      </w:pPr>
      <w:r>
        <w:t xml:space="preserve">1. den Ablauf der berufspraktischen Studienzeiten,</w:t>
      </w:r>
    </w:p>
    <w:p>
      <w:pPr>
        <w:ind w:left="420"/>
      </w:pPr>
      <w:r>
        <w:t xml:space="preserve">2. die Dauer der Praktika und</w:t>
      </w:r>
    </w:p>
    <w:p>
      <w:pPr>
        <w:ind w:left="420"/>
      </w:pPr>
      <w:r>
        <w:t xml:space="preserve">3. die inhaltlichen Anforderungen an die Praktika.</w:t>
      </w:r>
    </w:p>
    <w:p>
      <w:r>
        <w:rPr>
          <w:color w:val="555555"/>
          <w:sz w:val="17"/>
        </w:rPr>
        <w:t xml:space="preserve">Zitiervorschlag: § 34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