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GDBNDVerfSchVDV — Dienstbehörden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Dienstbehörde ist</w:t>
      </w:r>
    </w:p>
    <w:p>
      <w:pPr>
        <w:ind w:left="420"/>
      </w:pPr>
      <w:r>
        <w:t xml:space="preserve">1. für die Studierenden der Fachrichtung „Bundesnachrichtendienst“ der Bundesnachrichtendienst und</w:t>
      </w:r>
    </w:p>
    <w:p>
      <w:pPr>
        <w:ind w:left="420"/>
      </w:pPr>
      <w:r>
        <w:t xml:space="preserve">2. für die Studierenden der Fachrichtung „Verfassungsschutz“ das Bundesamt für Verfassungsschutz.</w:t>
      </w:r>
    </w:p>
    <w:p>
      <w:r>
        <w:t xml:space="preserve">(2) Die Dienstbehörde ist für alle beamtenrechtlichen Entscheidungen zuständig, soweit diese Entscheidungen durch diese Verordnung nicht anderen Behörden übertragen werden.</w:t>
      </w:r>
    </w:p>
    <w:p>
      <w:r>
        <w:rPr>
          <w:color w:val="555555"/>
          <w:sz w:val="17"/>
        </w:rPr>
        <w:t xml:space="preserve">Zitiervorschlag: § 3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