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GDBNDVerfSchVDV — Leistungstests im Hauptstudium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Im Hauptstudium sind mindestens zwölf Leistungstests zu absolvieren. Sechs Leistungstests sind Klausuren.</w:t>
      </w:r>
    </w:p>
    <w:p>
      <w:r>
        <w:t xml:space="preserve">(2) Im Einvernehmen mit den Dienstbehörden kann die Hochschule festlegen, dass mehr als sechs Leistungstests in einer anderen Form als der Klausur absolviert werden können.</w:t>
      </w:r>
    </w:p>
    <w:p>
      <w:r>
        <w:t xml:space="preserve">(3) Studierende der Fachrichtung Bundesnachrichtendienst schreiben</w:t>
      </w:r>
    </w:p>
    <w:p>
      <w:pPr>
        <w:ind w:left="420"/>
      </w:pPr>
      <w:r>
        <w:t xml:space="preserve">1. zwei Klausuren in dem Studiengebiet nach § 28 Nummer 3 und</w:t>
      </w:r>
    </w:p>
    <w:p>
      <w:pPr>
        <w:ind w:left="420"/>
      </w:pPr>
      <w:r>
        <w:t xml:space="preserve">2. je eine Klausur in den Studiengebieten nach § 28 Nummer 1, 2, 4 und 6.</w:t>
      </w:r>
    </w:p>
    <w:p>
      <w:r>
        <w:t xml:space="preserve">(4) Studierende der Fachrichtung Verfassungsschutz schreiben</w:t>
      </w:r>
    </w:p>
    <w:p>
      <w:pPr>
        <w:ind w:left="420"/>
      </w:pPr>
      <w:r>
        <w:t xml:space="preserve">1. zwei Klausuren in dem Studiengebiet nach § 28 Nummer 3,</w:t>
      </w:r>
    </w:p>
    <w:p>
      <w:pPr>
        <w:ind w:left="420"/>
      </w:pPr>
      <w:r>
        <w:t xml:space="preserve">2. eine Klausur in dem Studiengebiet nach § 28 Nummer 6 und</w:t>
      </w:r>
    </w:p>
    <w:p>
      <w:pPr>
        <w:ind w:left="420"/>
      </w:pPr>
      <w:r>
        <w:t xml:space="preserve">3. je eine Klausur in drei der Studiengebiete nach § 28 Nummer 1 bis 5.</w:t>
      </w:r>
    </w:p>
    <w:p>
      <w:r>
        <w:t xml:space="preserve">(5) Die Leistungstests des Hauptstudiums II sollen einen Monat vor Beginn der schriftlichen Abschlussprüfung abgeschlossen sein.</w:t>
      </w:r>
    </w:p>
    <w:p>
      <w:r>
        <w:rPr>
          <w:color w:val="555555"/>
          <w:sz w:val="17"/>
        </w:rPr>
        <w:t xml:space="preserve">Zitiervorschlag: § 29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