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GCP-V</w:t>
      </w:r>
    </w:p>
    <w:p>
      <w:r>
        <w:rPr>
          <w:color w:val="555555"/>
          <w:sz w:val="18"/>
        </w:rPr>
        <w:t xml:space="preserve">GCP-Verordnung</w:t>
      </w:r>
    </w:p>
    <w:p>
      <w:r>
        <w:rPr>
          <w:color w:val="555555"/>
          <w:sz w:val="18"/>
        </w:rPr>
        <w:t xml:space="preserve">Historische Fassung: Stand 10.06.2019 bis 27.01.2022. Dies ist nicht die aktuelle Fassung.</w:t>
      </w:r>
    </w:p>
    <w:p>
      <w:r>
        <w:t xml:space="preserve">Auf Grund des § 12 Abs. 1b Nr. 2 und des § 42 Abs. 3 des Arzneimittelgesetzes in der Fassung der Bekanntmachung vom 11. Dezember 1998 (BGBl. I S. 3586), von denen § 12 Abs. 1b Nr. 2 durch Artikel 1 Nr. 10 Buchstabe a des Gesetzes vom 30. Juli 2004 (BGBl. I S. 2031) eingefügt und § 42 Abs. 3 durch Artikel 1 Nr. 28 des Gesetzes vom 30. Juli 2004 (BGBl. I S. 2031) neu gefasst worden sind, verordnet das Bundesministerium für Gesundheit und Soziale Sicherung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GCP-V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https://recht.nulegal.eu/gesetze/GCP-V/eingangsformel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