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GCP-V — Genehmigung durch die zuständige Bundesoberbehörde</w:t>
      </w:r>
    </w:p>
    <w:p>
      <w:r>
        <w:rPr>
          <w:color w:val="555555"/>
          <w:sz w:val="18"/>
        </w:rPr>
        <w:t xml:space="preserve">GCP-Verordnung</w:t>
      </w:r>
    </w:p>
    <w:p>
      <w:r>
        <w:rPr>
          <w:color w:val="555555"/>
          <w:sz w:val="18"/>
        </w:rPr>
        <w:t xml:space="preserve">Historische Fassung: Stand 10.06.2019 bis 27.01.2022. Dies ist nicht die aktuelle Fassung.</w:t>
      </w:r>
    </w:p>
    <w:p>
      <w:r>
        <w:t xml:space="preserve">(1) Die zuständige Bundesoberbehörde bestätigt dem Sponsor innerhalb von zehn Tagen den Eingang des ordnungsgemäßen Antrags unter Angabe des Eingangsdatums oder fordert ihn auf, die von ihr benannten Formmängel innerhalb einer Frist von 14 Tagen zu beheben, wenn Unterlagen zum Antrag ohne Begründung hierfür fehlen oder der Antrag aus sonstigen Gründen nicht ordnungsgemäß ist.</w:t>
      </w:r>
    </w:p>
    <w:p>
      <w:r>
        <w:t xml:space="preserve">(2) Die Prüfung des ordnungsgemäßen Antrags muss innerhalb der nach § 42 Abs. 2 des Arzneimittelgesetzes jeweils geltenden Frist abgeschlossen werden. Übermittelt die zuständige Bundesoberbehörde dem Sponsor mit Gründen versehene Einwände, kann dieser ein einziges Mal den Antrag innerhalb einer Frist von höchstens 90 Tagen nach Zugang entsprechend ändern. Nach Eingang der Änderung übermittelt die zuständige Bundesoberbehörde dem Sponsor innerhalb von 15 Tagen schriftlich die Genehmigung des Antrags oder, unter Angabe von Gründen, dessen endgültige Ablehnung. Die zuständige Ethik-Kommission erhält davon eine Kopie. Bei den in § 42 Abs. 2 Satz 7 Nr. 2 bis 4 des Arzneimittelgesetzes genannten Arzneimitteln beträgt die in Satz 3 genannte Frist 30 Tage. Für die Prüfung xenogener Zelltherapeutika gibt es keine zeitliche Begrenzung für den Genehmigungszeitraum.</w:t>
      </w:r>
    </w:p>
    <w:p>
      <w:r>
        <w:t xml:space="preserve">(3) Betrifft der Antrag eine klinische Prüfung der Phase I, die als Teil eines mehrere klinische Prüfungen umfassenden Entwicklungsprogramms auf einer durch die zuständige Bundesoberbehörde genehmigten klinischen Prüfung desselben Entwicklungsprogramms aufbaut, verkürzt sich die jeweils geltende Frist auf 14 Tage, sofern dem Antrag die Angaben nach § 7 Abs. 4 Nr. 1 Buchstabe a und b des bereits genehmigten Antrags unverändert zu Grunde liegen. Diese Fristverkürzung gilt nicht bei klinischen Prüfungen der in Absatz 4 genannten Arzneimittel.</w:t>
      </w:r>
    </w:p>
    <w:p>
      <w:r>
        <w:t xml:space="preserve">(4) Bei klinischen Prüfungen von Arzneimitteln für neuartige Therapien oder Arzneimitteln, die aus einem gentechnisch veränderten Organismus oder einer Kombination von gentechnisch veränderten Organismen bestehen oder solche enthalten, verlängert sich die Frist des § 42 Abs. 2 Satz 8 Halbsatz 1 des Arzneimittelgesetzes auf höchstens 90 Tage; eine weitere Verlängerung der Frist auf insgesamt höchstens 180 Tage tritt ein, wenn die zuständige Bundesoberbehörde zur Vorbereitung ihrer Entscheidung Sachverständige beizieht oder Gutachten anfordert. Für die Prüfung xenogener Arzneimittel gibt es keine zeitliche Begrenzung für den Genehmigungszeitraum. Bei Prüfpräparaten, die aus einem gentechnisch veränderten Organismus oder einer Kombination von gentechnisch veränderten Organismen bestehen oder solche enthalten, entscheidet die zuständige Bundesoberbehörde im Benehmen mit dem Bundesamt für gesundheitlichen Verbraucherschutz und Lebensmittelsicherheit; die Genehmigung der klinischen Prüfung durch die zuständige Bundesoberbehörde umfasst die Genehmigung der Freisetzung dieser gentechnisch veränderten Organismen im Rahmen der klinischen Prüfung.</w:t>
      </w:r>
    </w:p>
    <w:p>
      <w:r>
        <w:t xml:space="preserve">(5) Zur Vorbereitung ihrer Entscheidung kann die zuständige Bundesoberbehörde die im Antrag nach § 42 Abs. 2 Satz 1 und 2 des Arzneimittelgesetzes enthaltenen oder nach § 10 Abs. 1 geänderten Angaben in der Prüfstelle, der Herstellungseinrichtung des Prüfpräparates, den an der Prüfung beteiligten Laboratorien, den Einrichtungen des Sponsors oder in sonstigen Einrichtungen überprüfen. Zu diesem Zweck können Beauftragte der zuständigen Bundesoberbehörde im Benehmen mit der zuständigen Behörde Betriebs- und Geschäftsräume zu den üblichen Geschäftszeiten betreten, Unterlagen einsehen und, soweit es sich nicht um personenbezogene Daten handelt, hieraus Abschriften oder Ablichtungen anfertigen sowie Auskünfte verlangen.</w:t>
      </w:r>
    </w:p>
    <w:p>
      <w:r>
        <w:rPr>
          <w:color w:val="555555"/>
          <w:sz w:val="17"/>
        </w:rPr>
        <w:t xml:space="preserve">Zitiervorschlag: § 9 GCP-V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https://recht.nulegal.eu/gesetze/GCP-V/9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