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GCP-V — Bewertung durch die Ethik-Kommission</w:t>
      </w:r>
    </w:p>
    <w:p>
      <w:r>
        <w:rPr>
          <w:color w:val="555555"/>
          <w:sz w:val="18"/>
        </w:rPr>
        <w:t xml:space="preserve">GCP-Verordnung</w:t>
      </w:r>
    </w:p>
    <w:p>
      <w:r>
        <w:rPr>
          <w:color w:val="555555"/>
          <w:sz w:val="18"/>
        </w:rPr>
        <w:t xml:space="preserve">Historische Fassung: Stand 10.06.2019 bis 27.01.2022. Dies ist nicht die aktuelle Fassung.</w:t>
      </w:r>
    </w:p>
    <w:p>
      <w:r>
        <w:t xml:space="preserve">(1) Die nach § 42 Abs. 1 Satz 1 oder 2 des Arzneimittelgesetzes zuständige Ethik-Kommission bestätigt dem Sponsor innerhalb von zehn Tagen den Eingang des ordnungsgemäßen Antrags unter Angabe des Eingangsdatums oder fordert ihn auf, die von ihr benannten Formmängel innerhalb einer Frist von 14 Tagen zu beheben, wenn Unterlagen zum Antrag ohne Begründung hierfür fehlen oder der Antrag aus sonstigen Gründen nicht ordnungsgemäß ist.</w:t>
      </w:r>
    </w:p>
    <w:p>
      <w:r>
        <w:t xml:space="preserve">(2) Innerhalb der nach § 42 Abs. 1 Satz 9 des Arzneimittelgesetzes geltenden Frist von höchstens 60 Tagen nach Eingang des ordnungsgemäßen Antrags übermittelt die zuständige Ethik-Kommission dem Sponsor und der zuständigen Bundesoberbehörde ihre mit Gründen versehene Bewertung. Während der Prüfung des Antrags auf zustimmende Bewertung kann die zuständige Ethik-Kommission nur ein einziges Mal zusätzliche Informationen vom Sponsor anfordern. Die Frist wird bis zum Eingang der zusätzlichen Informationen gehemmt. Die Hemmung beginnt mit Ablauf des Tages, an dem die Anforderung von der zuständigen Ethik-Kommission abgesendet wurde.</w:t>
      </w:r>
    </w:p>
    <w:p>
      <w:r>
        <w:t xml:space="preserve">(3) Betrifft der Antrag eine klinische Prüfung, die im Geltungsbereich des Arzneimittelgesetzes nur in einer einzigen Prüfstelle durchgeführt wird, verkürzt sich die in Absatz 2 genannte Frist auf höchstens 30 Tage. Ist diese klinische Prüfung eine klinische Prüfung der Phase I, die als Teil eines mehrere klinische Prüfungen umfassenden Entwicklungsprogramms auf einer von dieser Ethik-Kommission zustimmend bewerteten klinischen Prüfung desselben Entwicklungsprogramms aufbaut, verkürzt sich die Frist auf 14 Tage. Diese Fristverkürzungen gelten nicht bei klinischen Prüfungen der in Absatz 4 genannten Arzneimittel.</w:t>
      </w:r>
    </w:p>
    <w:p>
      <w:r>
        <w:t xml:space="preserve">(4) Bei klinischen Prüfungen von somatischen Zelltherapeutika und Arzneimitteln, die gentechnisch veränderte Organismen enthalten, verlängert sich die in Absatz 2 genannte Frist auf 90 Tage; eine weitere Verlängerung der Frist auf insgesamt 180 Tage tritt ein, wenn die zuständige Ethik-Kommission zur Vorbereitung ihrer Bewertung Sachverständige beizieht oder Gutachten anfordert. Für die klinische Prüfung von Gentransfer-Arzneimitteln beträgt die Frist höchstens 180 Tage. Für die Prüfung xenogener Zelltherapeutika gibt es keine zeitliche Begrenzung für den Bewertungszeitraum.</w:t>
      </w:r>
    </w:p>
    <w:p>
      <w:r>
        <w:t xml:space="preserve">(5) Multizentrische klinische Prüfungen, die im Geltungsbereich des Arzneimittelgesetzes in mehr als einer Prüfstelle durchgeführt werden, bewertet die federführende Ethik-Kommission im Benehmen mit den beteiligten Ethik-Kommissionen. Die beteiligten Ethik-Kommissionen prüfen die Qualifikation der Prüfer und die Geeignetheit der Prüfstellen in ihrem Zuständigkeitsbereich. Ihre diesbezügliche Bewertung muss der federführenden Ethik-Kommission innerhalb von 30 Tagen nach Eingang des ordnungsgemäßen Antrags vorliegen.</w:t>
      </w:r>
    </w:p>
    <w:p>
      <w:r>
        <w:rPr>
          <w:color w:val="555555"/>
          <w:sz w:val="17"/>
        </w:rPr>
        <w:t xml:space="preserve">Zitiervorschlag: § 8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