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GCP-V — Entblindung in Notfallsituationen und Rücknahme</w:t>
      </w:r>
    </w:p>
    <w:p>
      <w:r>
        <w:rPr>
          <w:color w:val="555555"/>
          <w:sz w:val="18"/>
        </w:rPr>
        <w:t xml:space="preserve">GCP-Verordnung</w:t>
      </w:r>
    </w:p>
    <w:p>
      <w:r>
        <w:rPr>
          <w:color w:val="555555"/>
          <w:sz w:val="18"/>
        </w:rPr>
        <w:t xml:space="preserve">Historische Fassung: Stand 10.06.2019 bis 27.01.2022. Dies ist nicht die aktuelle Fassung.</w:t>
      </w:r>
    </w:p>
    <w:p>
      <w:r>
        <w:t xml:space="preserve">Bei verblindeten Prüfpräparaten muss der Sponsor ein Verfahren zur unverzüglichen Entblindung etablieren, das eine sofortige Identifizierung und, sofern erforderlich, eine unverzügliche Rücknahme der Prüfpräparate ermöglicht. Dabei ist sicherzustellen, dass die Identität eines verblindeten Prüfpräparates nur so weit offen gelegt wird, wie dies erforderlich ist.</w:t>
      </w:r>
    </w:p>
    <w:p>
      <w:r>
        <w:rPr>
          <w:color w:val="555555"/>
          <w:sz w:val="17"/>
        </w:rPr>
        <w:t xml:space="preserve">Zitiervorschlag: § 6 GCP-V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https://recht.nulegal.eu/gesetze/GCP-V/6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