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GCP-V — Kennzeichnung von Prüfpräparaten</w:t>
      </w:r>
    </w:p>
    <w:p>
      <w:r>
        <w:rPr>
          <w:color w:val="555555"/>
          <w:sz w:val="18"/>
        </w:rPr>
        <w:t xml:space="preserve">GCP-Verordnung</w:t>
      </w:r>
    </w:p>
    <w:p>
      <w:r>
        <w:rPr>
          <w:color w:val="555555"/>
          <w:sz w:val="18"/>
        </w:rPr>
        <w:t xml:space="preserve">Historische Fassung: Stand 10.06.2019 bis 27.01.2022. Dies ist nicht die aktuelle Fassung.</w:t>
      </w:r>
    </w:p>
    <w:p>
      <w:r>
        <w:t xml:space="preserve">(1) Bei Prüfpräparaten muss die Kennzeichnung den Schutz der betroffenen Personen und die Rückverfolgbarkeit sicherstellen, die Identifizierung des Arzneimittels und der Prüfung ermöglichen und eine ordnungsgemäße Verwendung des Arzneimittels gewährleisten.</w:t>
      </w:r>
    </w:p>
    <w:p>
      <w:r>
        <w:t xml:space="preserve">(2) Prüfpräparate dürfen außer in den Fällen nach den Absätzen 3 bis 5 oder in sonstigen begründeten Fällen nur in den Verkehr gebracht werden, wenn auf den Behältnissen und, soweit verwendet, auf den äußeren Umhüllungen in gut lesbarer Schrift, allgemein verständlich in deutscher Sprache und auf dauerhafte Weise angegeben sind:</w:t>
      </w:r>
    </w:p>
    <w:p>
      <w:pPr>
        <w:ind w:left="420"/>
      </w:pPr>
      <w:r>
        <w:t xml:space="preserve">1. Name oder Firma und Anschrift des Sponsors und die seines Auftragnehmers (CRO), soweit er nicht selbst Sponsor ist,</w:t>
      </w:r>
    </w:p>
    <w:p>
      <w:pPr>
        <w:ind w:left="420"/>
      </w:pPr>
      <w:r>
        <w:t xml:space="preserve">2. Telefonnummer des Sponsors und die seines Auftragnehmers (CRO), soweit er nicht selbst Sponsor ist, sofern die Telefonnummern nicht in einem Begleitdokument aufgeführt sind, das der betroffenen Person auszuhändigen ist,</w:t>
      </w:r>
    </w:p>
    <w:p>
      <w:pPr>
        <w:ind w:left="420"/>
      </w:pPr>
      <w:r>
        <w:t xml:space="preserve">3. Bezeichnung und Stärke des Prüfpräparates,</w:t>
      </w:r>
    </w:p>
    <w:p>
      <w:pPr>
        <w:ind w:left="420"/>
      </w:pPr>
      <w:r>
        <w:t xml:space="preserve">4. Chargenbezeichnung mit der Abkürzung "Ch.-B." oder Code-Nummer der Prüfung,</w:t>
      </w:r>
    </w:p>
    <w:p>
      <w:pPr>
        <w:ind w:left="420"/>
      </w:pPr>
      <w:r>
        <w:t xml:space="preserve">5. Darreichungsform,</w:t>
      </w:r>
    </w:p>
    <w:p>
      <w:pPr>
        <w:ind w:left="420"/>
      </w:pPr>
      <w:r>
        <w:t xml:space="preserve">6. Inhalt nach Gewicht, Volumen oder Stückzahl,</w:t>
      </w:r>
    </w:p>
    <w:p>
      <w:pPr>
        <w:ind w:left="420"/>
      </w:pPr>
      <w:r>
        <w:t xml:space="preserve">7. Art der Anwendung,</w:t>
      </w:r>
    </w:p>
    <w:p>
      <w:pPr>
        <w:ind w:left="420"/>
      </w:pPr>
      <w:r>
        <w:t xml:space="preserve">8. Dosierungsanleitung mit Einzel- oder Tagesgaben oder diesbezüglicher Verweis auf ein Begleitdokument oder die Anweisung eines Prüfarztes,</w:t>
      </w:r>
    </w:p>
    <w:p>
      <w:pPr>
        <w:ind w:left="420"/>
      </w:pPr>
      <w:r>
        <w:t xml:space="preserve">9. Dauer der Verwendbarkeit (Verfalldatum mit dem Hinweis "verwendbar bis" oder soweit die Art des Prüfpräparates dies erlaubt, Datum der Nachtestung) unter Angabe von Monat und Jahr,</w:t>
      </w:r>
    </w:p>
    <w:p>
      <w:pPr>
        <w:ind w:left="420"/>
      </w:pPr>
      <w:r>
        <w:t xml:space="preserve">10. Prüfplancode, der die Identifizierung der klinischen Prüfung, der Prüfstelle, des Prüfers und des Sponsors ermöglicht, sofern nicht in einem Begleitdokument enthalten, das der betroffenen Person ausgehändigt werden kann,</w:t>
      </w:r>
    </w:p>
    <w:p>
      <w:pPr>
        <w:ind w:left="420"/>
      </w:pPr>
      <w:r>
        <w:t xml:space="preserve">11. von der europäischen Datenbank vergebene EudraCT-Nummer, sofern diese nicht in einem Begleitdokument enthalten ist,</w:t>
      </w:r>
    </w:p>
    <w:p>
      <w:pPr>
        <w:ind w:left="420"/>
      </w:pPr>
      <w:r>
        <w:t xml:space="preserve">12. Identifizierungscode der betroffenen Person, und, sofern erforderlich, Kennzeichnung der Einnahmesequenz, sofern nicht in einem Begleitdokument enthalten, das der betroffenen Person ausgehändigt werden kann,</w:t>
      </w:r>
    </w:p>
    <w:p>
      <w:pPr>
        <w:ind w:left="420"/>
      </w:pPr>
      <w:r>
        <w:t xml:space="preserve">13. Hinweis, dass das Arzneimittel zur klinischen Prüfung bestimmt ist,</w:t>
      </w:r>
    </w:p>
    <w:p>
      <w:pPr>
        <w:ind w:left="420"/>
      </w:pPr>
      <w:r>
        <w:t xml:space="preserve">14. Aufbewahrungs- oder Lagerungshinweise, sofern dies in der Genehmigung für die klinische Prüfung vorgesehen ist,</w:t>
      </w:r>
    </w:p>
    <w:p>
      <w:pPr>
        <w:ind w:left="420"/>
      </w:pPr>
      <w:r>
        <w:t xml:space="preserve">15. Hinweis, dass das Prüfpräparat unzugänglich für Kinder aufbewahrt werden soll, sofern das Prüfpräparat dazu bestimmt ist, der betroffenen Person ausgehändigt zu werden,</w:t>
      </w:r>
    </w:p>
    <w:p>
      <w:pPr>
        <w:ind w:left="420"/>
      </w:pPr>
      <w:r>
        <w:t xml:space="preserve">16. besondere Vorsichtsmaßnahmen für die Beseitigung von nicht verwendeten Prüfpräparaten oder sonstige besondere Vorsichtsmaßnahmen, um Gefahren für die Gesundheit nicht betroffener Personen und die Umwelt zu vermeiden, oder Angaben für die Rückgabe.</w:t>
      </w:r>
    </w:p>
    <w:p>
      <w:r>
        <w:t xml:space="preserve">Wenn Behältnis und äußere Umhüllung fest verbunden sind, ist die Kennzeichnung auf der äußeren Umhüllung ausreichend. Die Angabe nach Satz 1 Nr. 3 kann im Fall einer Verblindung der Prüfpräparate entfallen oder auf geeignete Weise verschlüsselt werden.</w:t>
      </w:r>
    </w:p>
    <w:p>
      <w:r>
        <w:t xml:space="preserve">(3) Sofern Behältnis und äußere Umhüllung des Prüfpräparates dauernd zusammengehalten werden sollen und die äußere Umhüllung die unter Absatz 2 Satz 1 aufgeführten Angaben aufweist, muss das Behältnis mindestens die Angaben nach Absatz 2 Satz 1 Nr. 1, 3, 4, 5, 6, 7, 10 und 12 aufweisen, die Angabe nach Absatz 2 Satz 1 Nr. 7 kann bei festen oralen Darreichungsformen entfallen. Absatz 2 Satz 3 gilt entsprechend.</w:t>
      </w:r>
    </w:p>
    <w:p>
      <w:r>
        <w:t xml:space="preserve">(4) Durchdrückpackungen sind mit den Angaben nach Absatz 2 Nr. 1, 3, 4, 7, 10 und 12 zu versehen, die Angabe nach Absatz 2 Satz 1 Nr. 7 kann bei festen oralen Darreichungsformen entfallen. Absatz 2 Satz 3 gilt entsprechend.</w:t>
      </w:r>
    </w:p>
    <w:p>
      <w:r>
        <w:t xml:space="preserve">(5) Bei Behältnissen von nicht mehr als zehn Milliliter Volumen und bei Ampullen brauchen die Angaben nach Absatz 2 nur auf den äußeren Umhüllungen gemacht zu werden, jedoch müssen sich auf den Behältnissen und den Ampullen mindestens die Angaben nach Absatz 2 Satz 1 Nr. 1, 3, 4, 7, 10 und 12 befinden. Absatz 2 Satz 3 gilt entsprechend.</w:t>
      </w:r>
    </w:p>
    <w:p>
      <w:r>
        <w:t xml:space="preserve">(6) Angaben nach Absatz 2, die zusätzlich in einer anderen Sprache wiedergegeben werden, müssen in beiden Sprachversionen inhaltsgleich sein. Weitere Angaben sind zulässig, sofern sie mit der Verwendung des Prüfpräparates in Zusammenhang stehen, für die gesundheitliche Aufklärung wichtig sind und den Angaben nach Absatz 2 nicht widersprechen.</w:t>
      </w:r>
    </w:p>
    <w:p>
      <w:r>
        <w:t xml:space="preserve">(7) Wenn die Dauer der Verwendbarkeit nachträglich verlängert werden soll, ist ein zusätzliches Etikett auf dem Behältnis und, soweit verwendet, auf der äußeren Umhüllung anzubringen, das das neue Verfalldatum oder das Datum der Nachtestung sowie die Chargenbezeichnung aufweist. Mit dem Etikett kann das frühere Datum, nicht aber die bereits vorhandene Chargenbezeichnung überdeckt werden.</w:t>
      </w:r>
    </w:p>
    <w:p>
      <w:r>
        <w:t xml:space="preserve">(8) Bei Prüfpräparaten, die durch die zuständige Bundesoberbehörde zugelassene Arzneimittel sind oder für die die Europäische Gemeinschaft oder die Europäische Union eine Genehmigung für das Inverkehrbringen gemäß Artikel 3 Abs. 1 oder 2 der Verordnung (EG) Nr. 726/2004 des Europäischen Parlaments und des Rates vom 31. März 2004 zur Festlegung von Gemeinschaftsverfahren für die Genehmigung und Überwachung von Human- und Tierarzneimitteln und zur Errichtung einer Europäischen Arzneimittel-Agentur (ABl. EU Nr. L 136 S. 1) erteilt hat, und die ohne zusätzliche Herstellungsmaßnahmen zur Verwendung in der klinischen Prüfung bestimmt sind, kann auf besondere Kennzeichnungen auf den Behältnissen und den äußeren Umhüllungen nach den Absätzen 2 bis 7 verzichtet werden, soweit es das Konzept der klinischen Prüfung erlaubt. Angaben nach Absatz 1 können auch in einem Begleitdokument aufgeführt werden.</w:t>
      </w:r>
    </w:p>
    <w:p>
      <w:r>
        <w:rPr>
          <w:color w:val="555555"/>
          <w:sz w:val="17"/>
        </w:rPr>
        <w:t xml:space="preserve">Zitiervorschlag: § 5 GCP-V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https://recht.nulegal.eu/gesetze/GCP-V/5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