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GCP-V — Herstellung und Einfuhr</w:t>
      </w:r>
    </w:p>
    <w:p>
      <w:r>
        <w:rPr>
          <w:color w:val="555555"/>
          <w:sz w:val="18"/>
        </w:rPr>
        <w:t xml:space="preserve">GCP-Verordnung</w:t>
      </w:r>
    </w:p>
    <w:p>
      <w:r>
        <w:rPr>
          <w:color w:val="555555"/>
          <w:sz w:val="18"/>
        </w:rPr>
        <w:t xml:space="preserve">Historische Fassung: Stand 10.06.2019 bis 27.01.2022. Dies ist nicht die aktuelle Fassung.</w:t>
      </w:r>
    </w:p>
    <w:p>
      <w:r>
        <w:t xml:space="preserve">(1) Die Herstellung, die Freigabe sowie die Einfuhr von Prüfpräparaten regelt die Arzneimittel- und Wirkstoffherstellungsverordnung vom 3. November 2006 (BGBl. I S. 2523), in der jeweils geltenden Fassung. Für die Kennzeichnung von Prüfpräparaten gilt § 5.</w:t>
      </w:r>
    </w:p>
    <w:p>
      <w:r>
        <w:t xml:space="preserve">(2) Der Sponsor muss sicherstellen, dass die Herstellung und Prüfung des Prüfpräparates den Angaben des bei der zuständigen Bundesoberbehörde nach § 7 Abs. 4 Nr. 1 eingereichten Dossiers zum Prüfpräparat entspricht und die Herstellungsbetriebe und Prüflaboratorien für diese Tätigkeiten geeignet sowie zu deren Ausübung berechtigt sind. Bei Verwendung zugelassener Arzneimittel im Sinne des § 5 Abs. 8 gelten die Anforderungen als erfüllt, soweit der Sponsor bis auf die Kennzeichnung keine weiteren Herstellungsvorgänge unternimmt.</w:t>
      </w:r>
    </w:p>
    <w:p>
      <w:r>
        <w:rPr>
          <w:color w:val="555555"/>
          <w:sz w:val="17"/>
        </w:rPr>
        <w:t xml:space="preserve">Zitiervorschlag: § 4 GCP-V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https://recht.nulegal.eu/gesetze/GCP-V/4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