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GCP-V — Anwendungsbereich</w:t>
      </w:r>
    </w:p>
    <w:p>
      <w:r>
        <w:rPr>
          <w:color w:val="555555"/>
          <w:sz w:val="18"/>
        </w:rPr>
        <w:t xml:space="preserve">GCP-Verordnung</w:t>
      </w:r>
    </w:p>
    <w:p>
      <w:r>
        <w:rPr>
          <w:color w:val="555555"/>
          <w:sz w:val="18"/>
        </w:rPr>
        <w:t xml:space="preserve">Historische Fassung: Stand 10.06.2019 bis 27.01.2022. Dies ist nicht die aktuelle Fassung.</w:t>
      </w:r>
    </w:p>
    <w:p>
      <w:r>
        <w:t xml:space="preserve">Die Verordnung regelt die Aufgaben, Verantwortungsbereiche und Verfahren hinsichtlich der Planung, Genehmigung, Durchführung und Überwachung von klinischen Prüfungen am Menschen nach § 4 Abs. 23 des Arzneimittelgesetzes einschließlich Bioverfügbarkeits- und Bioäquivalenzstudien sowie hinsichtlich ihrer Dokumentation und der Berichterstattung über diese klinischen Prüfungen. Sie regelt außerdem den Schutz der Gesundheit nicht betroffener Personen und umweltbezogene Anforderungen bei klinischen Prüfungen mit Arzneimitteln, die aus einem gentechnisch veränderten Organismus oder einer Kombination von gentechnisch veränderten Organismen bestehen oder solche enthalten.</w:t>
      </w:r>
    </w:p>
    <w:p>
      <w:r>
        <w:rPr>
          <w:color w:val="555555"/>
          <w:sz w:val="17"/>
        </w:rPr>
        <w:t xml:space="preserve">Zitiervorschlag: § 2 GCP-V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https://recht.nulegal.eu/gesetze/GCP-V/2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