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GCP-V — Übergangsbestimmungen</w:t>
      </w:r>
    </w:p>
    <w:p>
      <w:r>
        <w:rPr>
          <w:color w:val="555555"/>
          <w:sz w:val="18"/>
        </w:rPr>
        <w:t xml:space="preserve">GCP-Verordnung</w:t>
      </w:r>
    </w:p>
    <w:p>
      <w:r>
        <w:rPr>
          <w:color w:val="555555"/>
          <w:sz w:val="18"/>
        </w:rPr>
        <w:t xml:space="preserve">Historische Fassung: Stand 10.06.2019 bis 27.01.2022. Dies ist nicht die aktuelle Fassung.</w:t>
      </w:r>
    </w:p>
    <w:p>
      <w:r>
        <w:t xml:space="preserve">Für klinische Prüfungen von Arzneimitteln, für die vor dem 6. August 2004 die nach § 40 Abs. 1 Satz 2 des Arzneimittelgesetzes in der bis zum 6. August 2004 geltenden Fassung erforderlichen Unterlagen der für den Leiter der klinischen Prüfung zuständigen Ethik-Kommission vorgelegt worden sind, finden die Vorschriften dieser Verordnung keine Anwendung.</w:t>
      </w:r>
    </w:p>
    <w:p>
      <w:r>
        <w:rPr>
          <w:color w:val="555555"/>
          <w:sz w:val="17"/>
        </w:rPr>
        <w:t xml:space="preserve">Zitiervorschlag: § 17 GCP-V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https://recht.nulegal.eu/gesetze/GCP-V/17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