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GCP-V — Ordnungswidrigkeiten</w:t>
      </w:r>
    </w:p>
    <w:p>
      <w:r>
        <w:rPr>
          <w:color w:val="555555"/>
          <w:sz w:val="18"/>
        </w:rPr>
        <w:t xml:space="preserve">GCP-Verordnung</w:t>
      </w:r>
    </w:p>
    <w:p>
      <w:r>
        <w:rPr>
          <w:color w:val="555555"/>
          <w:sz w:val="18"/>
        </w:rPr>
        <w:t xml:space="preserve">Historische Fassung: Stand 10.06.2019 bis 27.01.2022. Dies ist nicht die aktuelle Fassung.</w:t>
      </w:r>
    </w:p>
    <w:p>
      <w:r>
        <w:t xml:space="preserve">Ordnungswidrig im Sinne des § 97 Abs. 2 Nr. 31 des Arzneimittelgesetzes handelt, wer vorsätzlich oder fahrlässig</w:t>
      </w:r>
    </w:p>
    <w:p>
      <w:pPr>
        <w:ind w:left="420"/>
      </w:pPr>
      <w:r>
        <w:t xml:space="preserve">1. entgegen § 12 Abs. 4 Satz 1 oder Abs. 7 oder § 13 Abs. 2 Satz 1 eine Unterrichtung nicht, nicht richtig, nicht vollständig oder nicht rechtzeitig vornimmt,</w:t>
      </w:r>
    </w:p>
    <w:p>
      <w:pPr>
        <w:ind w:left="420"/>
      </w:pPr>
      <w:r>
        <w:t xml:space="preserve">2. entgegen § 13 Abs. 3 Satz 1 eine Information nicht, nicht richtig, nicht vollständig oder nicht rechtzeitig übermittelt,</w:t>
      </w:r>
    </w:p>
    <w:p>
      <w:pPr>
        <w:ind w:left="420"/>
      </w:pPr>
      <w:r>
        <w:t xml:space="preserve">3. entgegen § 13 Abs. 6 eine Liste oder einen Bericht nicht, nicht richtig, nicht vollständig oder nicht rechtzeitig vorlegt oder</w:t>
      </w:r>
    </w:p>
    <w:p>
      <w:pPr>
        <w:ind w:left="420"/>
      </w:pPr>
      <w:r>
        <w:t xml:space="preserve">4. entgegen § 13 Abs. 7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§ 16 GCP-V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https://recht.nulegal.eu/gesetze/GCP-V/16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