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GCP-V — Dokumentations- und Mitteilungspflichten des Sponsors</w:t>
      </w:r>
    </w:p>
    <w:p>
      <w:r>
        <w:rPr>
          <w:color w:val="555555"/>
          <w:sz w:val="18"/>
        </w:rPr>
        <w:t xml:space="preserve">GCP-Verordnung</w:t>
      </w:r>
    </w:p>
    <w:p>
      <w:r>
        <w:rPr>
          <w:color w:val="555555"/>
          <w:sz w:val="18"/>
        </w:rPr>
        <w:t xml:space="preserve">Historische Fassung: Stand 10.06.2019 bis 27.01.2022. Dies ist nicht die aktuelle Fassung.</w:t>
      </w:r>
    </w:p>
    <w:p>
      <w:r>
        <w:t xml:space="preserve">(1) Der Sponsor hat alle ihm von den Prüfern mitgeteilten unerwünschten Ereignisse ausführlich zu dokumentieren. Diese Aufzeichnungen werden der zuständigen Bundesoberbehörde und den zuständigen Behörden anderer Mitgliedstaaten der Europäischen Union und anderer Vertragsstaaten des Abkommens über den Europäischen Wirtschaftsraum, in deren Hoheitsgebiet die klinische Prüfung durchgeführt wird, auf Anforderung übermittelt. Personenbezogene Daten sind vor ihrer Übermittlung unter Verwendung des Identifizierungscodes der betroffenen Person zu pseudonymisieren.</w:t>
      </w:r>
    </w:p>
    <w:p>
      <w:r>
        <w:t xml:space="preserve">(2) Der Sponsor hat über jeden ihm bekannt gewordenen Verdachtsfall einer unerwarteten schwerwiegenden Nebenwirkung durch in dieser oder einer anderen klinischen Prüfung des Sponsors verwendete und denselben Wirkstoff enthaltende Prüfpräparate unverzüglich, spätestens aber innerhalb von 15 Tagen nach Bekanntwerden, die zuständige Ethik-Kommission, die zuständige Bundesoberbehörde und die zuständigen Behörden anderer Mitgliedstaaten der Europäischen Union und anderer Vertragsstaaten des Abkommens über den Europäischen Wirtschaftsraum, in deren Hoheitsgebiet die klinische Prüfung durchgeführt wird, sowie die an der klinischen Prüfung beteiligten Prüfer zu unterrichten. Personenbezogene Daten sind vor ihrer Übermittlung unter Verwendung des Identifizierungscodes der betroffenen Person zu pseudonymisieren.</w:t>
      </w:r>
    </w:p>
    <w:p>
      <w:r>
        <w:t xml:space="preserve">(3) Der Sponsor hat bei jedem ihm bekannt gewordenen Verdachtsfall einer unerwarteten schwerwiegenden Nebenwirkung durch in dieser oder einer anderen klinischen Prüfung des Sponsors verwendete und denselben Wirkstoff enthaltende Prüfpräparate, die zu einem Todesfall geführt hat oder lebensbedrohlich ist, unverzüglich, spätestens aber innerhalb von sieben Tagen nach Bekanntwerden, der zuständigen Ethik-Kommission, der zuständigen Bundesoberbehörde und den zuständigen Behörden anderer Mitgliedstaaten der Europäischen Union und anderer Vertragsstaaten des Abkommens über den Europäischen Wirtschaftsraum, in deren Hoheitsgebiet die klinische Prüfung durchgeführt wird, sowie den an der Prüfung beteiligten Prüfern alle für die Bewertung wichtigen Informationen und innerhalb von höchstens acht weiteren Tagen die weiteren relevanten Informationen zu übermitteln. Personenbezogene Daten sind vor ihrer Übermittlung unter Verwendung des Identifizierungscodes der betroffenen Person zu pseudonymisieren.</w:t>
      </w:r>
    </w:p>
    <w:p>
      <w:r>
        <w:t xml:space="preserve">(4) Der Sponsor unterrichtet unverzüglich, spätestens aber innerhalb von 15 Tagen nach Bekanntwerden, die zuständige Bundesoberbehörde, die zuständige Ethik-Kommission und die zuständigen Behörden anderer Mitgliedstaaten der Europäischen Union und anderer Vertragsstaaten des Abkommens über den Europäischen Wirtschaftsraum, in deren Hoheitsgebiet die klinische Prüfung durchgeführt wird, über jeden Sachverhalt, der eine erneute Überprüfung der Nutzen-Risiko-Bewertung des Prüfpräparates erfordert. Hierzu gehören insbesondere</w:t>
      </w:r>
    </w:p>
    <w:p>
      <w:pPr>
        <w:ind w:left="420"/>
      </w:pPr>
      <w:r>
        <w:t xml:space="preserve">1. Einzelfallberichte von erwarteten schwerwiegenden Nebenwirkungen mit einem unerwarteten Ausgang,</w:t>
      </w:r>
    </w:p>
    <w:p>
      <w:pPr>
        <w:ind w:left="420"/>
      </w:pPr>
      <w:r>
        <w:t xml:space="preserve">2. eine Erhöhung der Häufigkeit erwarteter schwerwiegender Nebenwirkungen, die als klinisch relevant bewertet wird,</w:t>
      </w:r>
    </w:p>
    <w:p>
      <w:pPr>
        <w:ind w:left="420"/>
      </w:pPr>
      <w:r>
        <w:t xml:space="preserve">3. Verdachtsfälle schwerwiegender unerwarteter Nebenwirkungen, die sich ereigneten, nachdem die betroffene Person die klinische Prüfung bereits beendet hat,</w:t>
      </w:r>
    </w:p>
    <w:p>
      <w:pPr>
        <w:ind w:left="420"/>
      </w:pPr>
      <w:r>
        <w:t xml:space="preserve">4. Ereignisse im Zusammenhang mit der Studiendurchführung oder der Entwicklung des Prüfpräparates, die möglicherweise die Sicherheit der betroffenen Personen beeinträchtigen können.</w:t>
      </w:r>
    </w:p>
    <w:p>
      <w:r>
        <w:t xml:space="preserve">(5) Sofern Maßnahmen nach § 11 ergriffen werden, unterrichtet der Sponsor unverzüglich die zuständige Bundesoberbehörde, die zuständige Behörde, die zuständige Ethik-Kommission und die zuständigen Behörden anderer Mitgliedstaaten der Europäischen Union und anderer Vertragsstaaten des Abkommens über den Europäischen Wirtschaftsraum, in deren Hoheitsgebiet die klinische Prüfung durchgeführt wird, über diese sowie die sie auslösenden Umstände.</w:t>
      </w:r>
    </w:p>
    <w:p>
      <w:r>
        <w:t xml:space="preserve">(6) Der Sponsor hat der zuständigen Ethik-Kommission, der zuständigen Bundesoberbehörde und den zuständigen Behörden anderer Mitgliedstaaten der Europäischen Union und anderer Vertragsstaaten des Abkommens über den Europäischen Wirtschaftsraum, in deren Hoheitsgebiet die klinische Prüfung durchgeführt wird, während der Dauer der Prüfung einmal jährlich oder auf Verlangen eine Liste aller während der Prüfung aufgetretenen Verdachtsfälle schwerwiegender Nebenwirkungen sowie einen Bericht über die Sicherheit der betroffenen Personen vorzulegen.</w:t>
      </w:r>
    </w:p>
    <w:p>
      <w:r>
        <w:t xml:space="preserve">(7) Erhält der Sponsor bei klinischen Prüfungen mit Arzneimitteln, die aus einem gentechnisch veränderten Organismus oder einer Kombination von gentechnisch veränderten Organismen bestehen oder solche enthalten, neue Informationen über Gefahren für die Gesundheit nicht betroffener Personen und die Umwelt, hat er diese der zuständigen Bundesoberbehörde unverzüglich mitzuteilen.</w:t>
      </w:r>
    </w:p>
    <w:p>
      <w:r>
        <w:t xml:space="preserve">(8) Der Sponsor unterrichtet die zuständige Behörde, die zuständige Bundesoberbehörde, die zuständige Ethik-Kommission und die zuständigen Behörden anderer Mitgliedstaaten der Europäischen Union und anderer Vertragsstaaten des Abkommens über den Europäischen Wirtschaftsraum, in deren Hoheitsgebiet die klinische Prüfung durchgeführt wird, innerhalb von 90 Tagen über die Beendigung der klinischen Prüfung. Wurde die klinische Prüfung durch den Sponsor abgebrochen oder unterbrochen, erfolgt die Unterrichtung innerhalb von 15 Tagen unter Angabe der Gründe für den Abbruch oder die Unterbrechung.</w:t>
      </w:r>
    </w:p>
    <w:p>
      <w:r>
        <w:t xml:space="preserve">(9) Der Sponsor übermittelt der zuständigen Bundesoberbehörde und der zuständigen Ethik-Kommission innerhalb eines Jahres nach Beendigung der klinischen Prüfung eine Zusammenfassung des Berichts über die klinische Prüfung, der alle wesentlichen Ergebnisse der klinischen Prüfung abdeckt.</w:t>
      </w:r>
    </w:p>
    <w:p>
      <w:r>
        <w:t xml:space="preserve">(9a) Sofern eine klinische Prüfung mit Arzneimitteln durchgeführt wird, die aus einem gentechnisch veränderten Organismus oder einer Kombination von gentechnisch veränderten Organismen bestehen oder solche enthalten, muss der Sponsor die zuständige Bundesoberbehörde unmittelbar nach Abschluss der klinischen Prüfung über die Ergebnisse in Bezug auf die Gefahren für die menschliche Gesundheit oder die Umwelt informieren. Der Bericht nach Absatz 9 muss auch alle Ergebnisse enthalten, die sich aus der Besonderheit dieser Arzneimittelgruppe ergeben können.</w:t>
      </w:r>
    </w:p>
    <w:p>
      <w:r>
        <w:t xml:space="preserve">(10) Der Sponsor stellt sicher, dass die wesentlichen Unterlagen der klinischen Prüfung einschließlich der Prüfbögen nach der Beendigung oder dem Abbruch der Prüfung mindestens zehn Jahre aufbewahrt werden. Andere Vorschriften zur Aufbewahrung von medizinischen Unterlagen bleiben unberührt.</w:t>
      </w:r>
    </w:p>
    <w:p>
      <w:r>
        <w:rPr>
          <w:color w:val="555555"/>
          <w:sz w:val="17"/>
        </w:rPr>
        <w:t xml:space="preserve">Zitiervorschlag: § 13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