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GCP-V — Anzeige-, Dokumentations- und Mitteilungspflichten des Prüfers</w:t>
      </w:r>
    </w:p>
    <w:p>
      <w:r>
        <w:rPr>
          <w:color w:val="555555"/>
          <w:sz w:val="18"/>
        </w:rPr>
        <w:t xml:space="preserve">GCP-Verordnung</w:t>
      </w:r>
    </w:p>
    <w:p>
      <w:r>
        <w:rPr>
          <w:color w:val="555555"/>
          <w:sz w:val="18"/>
        </w:rPr>
        <w:t xml:space="preserve">Historische Fassung: Stand 10.06.2019 bis 27.01.2022. Dies ist nicht die aktuelle Fassung.</w:t>
      </w:r>
    </w:p>
    <w:p>
      <w:r>
        <w:t xml:space="preserve">(1) Der Prüfer fügt seiner Anzeige nach § 67 des Arzneimittelgesetzes bei der zuständigen Behörde für jede von ihm durchgeführte klinische Prüfung die folgenden Angaben bei:</w:t>
      </w:r>
    </w:p>
    <w:p>
      <w:pPr>
        <w:ind w:left="420"/>
      </w:pPr>
      <w:r>
        <w:t xml:space="preserve">1. Name, Anschrift und Berufsbezeichnung des zur Anzeige verpflichteten Prüfers,</w:t>
      </w:r>
    </w:p>
    <w:p>
      <w:pPr>
        <w:ind w:left="420"/>
      </w:pPr>
      <w:r>
        <w:t xml:space="preserve">2. Bezeichnung der zuständigen Bundesoberbehörde sowie Datum der erteilten Genehmigung und, sofern zutreffend, Daten von Genehmigungen nachträglicher Änderungen nach § 10 Abs. 1,</w:t>
      </w:r>
    </w:p>
    <w:p>
      <w:pPr>
        <w:ind w:left="420"/>
      </w:pPr>
      <w:r>
        <w:t xml:space="preserve">3. Bezeichnung und Anschrift der nach § 42 Abs. 1 Satz 1 oder 2 des Arzneimittelgesetzes zuständigen Ethik-Kommission sowie Datum ihrer zustimmenden Bewertung und, sofern zutreffend, Daten von Genehmigungen nachträglicher Änderungen nach § 10 Abs. 1,</w:t>
      </w:r>
    </w:p>
    <w:p>
      <w:pPr>
        <w:ind w:left="420"/>
      </w:pPr>
      <w:r>
        <w:t xml:space="preserve">4. Bezeichnung und Anschrift der für den Prüfer und die Prüfstelle zuständigen beteiligten Ethik-Kommission sowie Datum ihrer diesbezüglichen Bewertung,</w:t>
      </w:r>
    </w:p>
    <w:p>
      <w:pPr>
        <w:ind w:left="420"/>
      </w:pPr>
      <w:r>
        <w:t xml:space="preserve">5. EudraCT-Nummer des Prüfplans,</w:t>
      </w:r>
    </w:p>
    <w:p>
      <w:pPr>
        <w:ind w:left="420"/>
      </w:pPr>
      <w:r>
        <w:t xml:space="preserve">6. Name oder Firma und Anschrift des Sponsors und, sofern zutreffend, seines in der Europäischen Union oder in einem Vertragsstaat des Abkommens über den Europäischen Wirtschaftsraum niedergelassenen Vertreters,</w:t>
      </w:r>
    </w:p>
    <w:p>
      <w:pPr>
        <w:ind w:left="420"/>
      </w:pPr>
      <w:r>
        <w:t xml:space="preserve">7. Name und Anschrift des Leiters der klinischen Prüfung,</w:t>
      </w:r>
    </w:p>
    <w:p>
      <w:pPr>
        <w:ind w:left="420"/>
      </w:pPr>
      <w:r>
        <w:t xml:space="preserve">8. Name und Anschrift der Prüflaboratorien und anderer Einrichtungen, die vom Prüfer eingebunden worden sind,</w:t>
      </w:r>
    </w:p>
    <w:p>
      <w:pPr>
        <w:ind w:left="420"/>
      </w:pPr>
      <w:r>
        <w:t xml:space="preserve">9. vollständiger Titel des Prüfplans einschließlich Prüfplancode und Zielsetzung,</w:t>
      </w:r>
    </w:p>
    <w:p>
      <w:pPr>
        <w:ind w:left="420"/>
      </w:pPr>
      <w:r>
        <w:t xml:space="preserve">10. zu prüfendes Anwendungsgebiet,</w:t>
      </w:r>
    </w:p>
    <w:p>
      <w:pPr>
        <w:ind w:left="420"/>
      </w:pPr>
      <w:r>
        <w:t xml:space="preserve">11. Art der klinischen Prüfung und ihrer Durchführung, einschließlich Angaben zu den besonderen Merkmalen betroffener Personen, auf die die besonderen Voraussetzungen nach § 41 des Arzneimittelgesetzes Anwendung finden,</w:t>
      </w:r>
    </w:p>
    <w:p>
      <w:pPr>
        <w:ind w:left="420"/>
      </w:pPr>
      <w:r>
        <w:t xml:space="preserve">12. geplanter Beginn und voraussichtliche Dauer,</w:t>
      </w:r>
    </w:p>
    <w:p>
      <w:pPr>
        <w:ind w:left="420"/>
      </w:pPr>
      <w:r>
        <w:t xml:space="preserve">13. Bezeichnung, Stärke, Darreichungsform, arzneilich wirksame Bestandteile und Art der Anwendung des Prüfpräparates,</w:t>
      </w:r>
    </w:p>
    <w:p>
      <w:pPr>
        <w:ind w:left="420"/>
      </w:pPr>
      <w:r>
        <w:t xml:space="preserve">14. Information, ob Regelungen des Betäubungsmittelrechts, des Gentechnikrechts oder des Strahlenschutzrechts zu beachten sind oder es sich um ein somatisches Gentherapeutikum oder Gendiagnostikum handelt,</w:t>
      </w:r>
    </w:p>
    <w:p>
      <w:pPr>
        <w:ind w:left="420"/>
      </w:pPr>
      <w:r>
        <w:t xml:space="preserve">15. Anzahl und Art der mitgeführten Vergleichspräparate.</w:t>
      </w:r>
    </w:p>
    <w:p>
      <w:r>
        <w:t xml:space="preserve">(2) Der Prüfer unterrichtet die zuständige Behörde innerhalb von 90 Tagen über die Beendigung der klinischen Prüfung. Wurde die klinische Prüfung durch den Sponsor abgebrochen oder unterbrochen, erfolgt die Unterrichtung innerhalb von 15 Tagen unter Angabe der Gründe für den Abbruch oder die Unterbrechung.</w:t>
      </w:r>
    </w:p>
    <w:p>
      <w:r>
        <w:t xml:space="preserve">(3) Der Prüfer kann dem Sponsor die Durchführung der Anzeige bei der zuständigen Behörde übertragen und hat dies zu dokumentieren.</w:t>
      </w:r>
    </w:p>
    <w:p>
      <w:r>
        <w:t xml:space="preserve">(4) Der Prüfer hat den Sponsor unverzüglich über das Auftreten eines schwerwiegenden unerwünschten Ereignisses, ausgenommen Ereignisse, über die laut Prüfplan oder Prüferinformation nicht unverzüglich berichtet werden muss, zu unterrichten und ihm anschließend einen ausführlichen schriftlichen Bericht zu übermitteln. Personenbezogene Daten sind vor ihrer Übermittlung unter Verwendung des Identifizierungscodes der betroffenen Person zu pseudonymisieren.</w:t>
      </w:r>
    </w:p>
    <w:p>
      <w:r>
        <w:t xml:space="preserve">(5) Über unerwünschte Ereignisse und unerwartete klinisch-diagnostische Befunde, die im Prüfplan für die Bewertung der klinischen Prüfung als entscheidend bezeichnet sind, unterrichtet der Prüfer den Sponsor innerhalb der im Prüfplan angegebenen Fristen. Absatz 1 Satz 2 gilt entsprechend.</w:t>
      </w:r>
    </w:p>
    <w:p>
      <w:r>
        <w:t xml:space="preserve">(6) Im Fall des Todes einer betroffenen Person übermittelt der Prüfer der zuständigen Ethik-Kommission, bei multizentrischen Studien auch der beteiligten Ethik-Kommission, der zuständigen Bundesoberbehörde sowie dem Sponsor alle für die Erfüllung ihrer Aufgaben erforderlichen zusätzlichen Auskünfte. Personenbezogene Daten sind vor ihrer Übermittlung unter Verwendung des Identifizierungscodes der betroffenen Person zu pseudonymisieren.</w:t>
      </w:r>
    </w:p>
    <w:p>
      <w:r>
        <w:t xml:space="preserve">(7) Bei klinischen Prüfungen mit Arzneimitteln, die aus einem gentechnisch veränderten Organismus oder einer Kombination von gentechnisch veränderten Organismen bestehen oder solche enthalten, hat der Prüfer den Sponsor unverzüglich über Beobachtungen von in der Risikobewertung nicht vorgesehenen etwaigen schädlichen Auswirkungen auf die Gesundheit nicht betroffener Personen und die Umwelt zu unterrichten.</w:t>
      </w:r>
    </w:p>
    <w:p>
      <w:r>
        <w:rPr>
          <w:color w:val="555555"/>
          <w:sz w:val="17"/>
        </w:rPr>
        <w:t xml:space="preserve">Zitiervorschlag: § 12 GCP-V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https://recht.nulegal.eu/gesetze/GCP-V/12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