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GCP-V — Maßnahmen zum Schutz vor unmittelbarer Gefahr</w:t>
      </w:r>
    </w:p>
    <w:p>
      <w:r>
        <w:rPr>
          <w:color w:val="555555"/>
          <w:sz w:val="18"/>
        </w:rPr>
        <w:t xml:space="preserve">GCP-Verordnung</w:t>
      </w:r>
    </w:p>
    <w:p>
      <w:r>
        <w:rPr>
          <w:color w:val="555555"/>
          <w:sz w:val="18"/>
        </w:rPr>
        <w:t xml:space="preserve">Historische Fassung: Stand 10.06.2019 bis 27.01.2022. Dies ist nicht die aktuelle Fassung.</w:t>
      </w:r>
    </w:p>
    <w:p>
      <w:r>
        <w:t xml:space="preserve">(1) Unbeschadet des § 10 treffen der Sponsor und der Prüfer unverzüglich alle gebotenen Maßnahmen zum Schutz der betroffenen Personen vor unmittelbarer Gefahr, wenn neue Umstände die Sicherheit der betroffenen Personen beeinträchtigen können.</w:t>
      </w:r>
    </w:p>
    <w:p>
      <w:r>
        <w:t xml:space="preserve">(2) Bei klinischen Prüfungen mit Arzneimitteln, die aus einem gentechnisch veränderten Organismus oder einer Kombination von gentechnisch veränderten Organismen bestehen oder solche enthalten, treffen der Sponsor und der Prüfer unbeschadet des § 10 alle gebotenen Maßnahmen zum Schutz der Gesundheit nicht betroffener Personen und der Umwelt.</w:t>
      </w:r>
    </w:p>
    <w:p>
      <w:r>
        <w:rPr>
          <w:color w:val="555555"/>
          <w:sz w:val="17"/>
        </w:rPr>
        <w:t xml:space="preserve">Zitiervorschlag: § 11 GCP-V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https://recht.nulegal.eu/gesetze/GCP-V/11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