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GCP-V — Nachträgliche Änderungen</w:t>
      </w:r>
    </w:p>
    <w:p>
      <w:r>
        <w:rPr>
          <w:color w:val="555555"/>
          <w:sz w:val="18"/>
        </w:rPr>
        <w:t xml:space="preserve">GCP-Verordnung</w:t>
      </w:r>
    </w:p>
    <w:p>
      <w:r>
        <w:rPr>
          <w:color w:val="555555"/>
          <w:sz w:val="18"/>
        </w:rPr>
        <w:t xml:space="preserve">Historische Fassung: Stand 10.06.2019 bis 27.01.2022. Dies ist nicht die aktuelle Fassung.</w:t>
      </w:r>
    </w:p>
    <w:p>
      <w:r>
        <w:t xml:space="preserve">(1) Änderungen einer von der zuständigen Bundesoberbehörde genehmigten oder von der zuständigen Ethik-Kommission zustimmend bewerteten klinischen Prüfung, die geeignet sind,</w:t>
      </w:r>
    </w:p>
    <w:p>
      <w:pPr>
        <w:ind w:left="420"/>
      </w:pPr>
      <w:r>
        <w:t xml:space="preserve">1. sich auf die Sicherheit der betroffenen Personen auszuwirken,</w:t>
      </w:r>
    </w:p>
    <w:p>
      <w:pPr>
        <w:ind w:left="420"/>
      </w:pPr>
      <w:r>
        <w:t xml:space="preserve">2. die Auslegung der wissenschaftlichen Dokumente, auf die die Prüfung gestützt wird, oder die wissenschaftliche Aussagekraft der Studienergebnisse zu beeinflussen,</w:t>
      </w:r>
    </w:p>
    <w:p>
      <w:pPr>
        <w:ind w:left="420"/>
      </w:pPr>
      <w:r>
        <w:t xml:space="preserve">3. die Art der Leitung oder Durchführung der Studie wesentlich zu verändern,</w:t>
      </w:r>
    </w:p>
    <w:p>
      <w:pPr>
        <w:ind w:left="420"/>
      </w:pPr>
      <w:r>
        <w:t xml:space="preserve">4. die Qualität oder Unbedenklichkeit der Prüfpräparate zu beeinträchtigen oder</w:t>
      </w:r>
    </w:p>
    <w:p>
      <w:pPr>
        <w:ind w:left="420"/>
      </w:pPr>
      <w:r>
        <w:t xml:space="preserve">5. bei klinischen Prüfungen mit Arzneimitteln, die aus gentechnisch veränderten Organismen bestehen oder diese enthalten, die Risikobewertung für die Gesundheit nicht betroffener Personen und die Umwelt zu verändern,</w:t>
      </w:r>
    </w:p>
    <w:p>
      <w:r>
        <w:t xml:space="preserve">darf der Sponsor nur vornehmen, wenn diese Änderungen von der zuständigen Ethik-Kommission zustimmend bewertet wurden, soweit sie die Angaben und Unterlagen nach § 7 Absatz 2, 3 oder 3a betreffen, und wenn sie von der zuständigen Bundesoberbehörde genehmigt wurden, soweit sie die Angaben und Unterlagen nach § 7 Abs. 2 oder 4 betreffen. Die zustimmende Bewertung ist bei der zuständigen Ethik-Kommission, die Genehmigung ist bei der zuständigen Bundesoberbehörde zu beantragen. Der Antrag ist zu begründen.</w:t>
      </w:r>
    </w:p>
    <w:p>
      <w:r>
        <w:t xml:space="preserve">(2) Die zuständige Ethik-Kommission hat eine Entscheidung über den ordnungsgemäßen Antrag auf zustimmende Bewertung der Änderungen innerhalb von 20 Tagen nach Eingang dem Sponsor und der zuständigen Bundesoberbehörde zu übermitteln. Bei multizentrischen klinischen Prüfungen, die im Geltungsbereich des Arzneimittelgesetzes in mehr als einer Prüfstelle durchgeführt werden, bewertet die federführende Ethik-Kommission die Änderungen im Benehmen mit den beteiligten Ethik-Kommissionen. Die beteiligten Ethik-Kommissionen prüfen die Qualifikation der Prüfer und die Geeignetheit der Prüfstellen in ihrem Zuständigkeitsbereich. Bei Arzneimitteln, die somatische Zelltherapeutika oder Gentransfer-Arzneimittel oder Arzneimittel sind, die gentechnisch veränderte Organismen enthalten oder deren Wirkstoff ein biologisches Produkt menschlichen oder tierischen Ursprungs ist oder biologische Bestandteile menschlichen oder tierischen Ursprungs enthält oder zu seiner Herstellung derartige Bestandteile erfordert, beträgt die Frist 35 Tage. Bei xenogenen Zelltherapeutika gibt es keine zeitliche Begrenzung für den Bewertungszeitraum.</w:t>
      </w:r>
    </w:p>
    <w:p>
      <w:r>
        <w:t xml:space="preserve">(3) Übermittelt die zuständige Bundesoberbehörde dem Sponsor innerhalb von höchstens 20 Tagen nach Eingang des ordnungsgemäßen Änderungsantrags keine mit Gründen versehenen Einwände gegen die Änderungen, so gelten sie als genehmigt. Die zuständige Bundesoberbehörde kann den Sponsor auffordern, die von ihm vorgeschlagenen Änderungen nach ihren Maßgaben abzuändern. Bei Arzneimitteln, die somatische Zelltherapeutika oder Gentransfer-Arzneimittel sind, die gentechnisch veränderte Organismen enthalten oder deren Wirkstoff ein biologisches Produkt menschlichen oder tierischen Ursprungs ist oder biologische Bestandteile menschlichen oder tierischen Ursprungs enthält oder zu seiner Herstellung derartige Bestandteile erfordert, beträgt die Frist 35 Tage. Bei xenogenen Zelltherapeutika gibt es keine zeitliche Begrenzung für den Genehmigungszeitraum.</w:t>
      </w:r>
    </w:p>
    <w:p>
      <w:r>
        <w:t xml:space="preserve">(4) Zusätzliche Prüfstellen im Geltungsbereich des Arzneimittelgesetzes darf der Sponsor nur dann in die klinische Prüfung einbeziehen, wenn die zuständige Ethik-Kommission, die die klinische Prüfung zustimmend bewertet hat, die Einbeziehung der jeweiligen zusätzlichen Prüfstelle zustimmend bewertet. Dem Antrag auf Erteilung der zustimmenden Bewertung sind die auf die zusätzlichen Prüfstellen bezogenen Angaben nach § 7 Abs. 2 Nr. 5 und 8, Abs. 3 Nr. 4, 6 bis 8, 13, 14, 16, 18 und Absatz 3a beizufügen. Jede Ethik-Kommission, die nach Landesrecht für einen Prüfer zuständig ist, der in einer zusätzlichen Prüfstelle für die Durchführung der klinischen Prüfung verantwortlich ist, erhält eine Kopie des ursprünglichen Antrags und der Unterlagen auf zustimmende Bewertung der klinischen Prüfung, der zustimmenden Bewertung der in Satz 1 genannten Ethik-Kommission und des Antrags auf zustimmende Bewertung der Einbeziehung der zusätzlichen Prüfstelle. Die federführende Ethik-Kommission setzt sich mit ihr ins Benehmen. Die zustimmende Bewertung gilt als erteilt, wenn die federführende Ethik-Kommission dem Sponsor nicht innerhalb von 30 Tagen nach Eingang des ordnungsgemäßen Antrags begründete Bedenken übermittelt. Die federführende Ethik-Kommission unterrichtet die zuständige Bundesoberbehörde über die Bewertung.</w:t>
      </w:r>
    </w:p>
    <w:p>
      <w:r>
        <w:rPr>
          <w:color w:val="555555"/>
          <w:sz w:val="17"/>
        </w:rPr>
        <w:t xml:space="preserve">Zitiervorschlag: § 10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