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GCP-V — Zweck der Verordnung</w:t>
      </w:r>
    </w:p>
    <w:p>
      <w:r>
        <w:rPr>
          <w:color w:val="555555"/>
          <w:sz w:val="18"/>
        </w:rPr>
        <w:t xml:space="preserve">GCP-Verordnung</w:t>
      </w:r>
    </w:p>
    <w:p>
      <w:r>
        <w:rPr>
          <w:color w:val="555555"/>
          <w:sz w:val="18"/>
        </w:rPr>
        <w:t xml:space="preserve">Historische Fassung: Stand 10.06.2019 bis 27.01.2022. Dies ist nicht die aktuelle Fassung.</w:t>
      </w:r>
    </w:p>
    <w:p>
      <w:r>
        <w:t xml:space="preserve">(1) Zweck dieser Verordnung ist, die Einhaltung der Guten Klinischen Praxis bei der Planung, Durchführung und Dokumentation klinischer Prüfungen am Menschen und der Berichterstattung darüber sicherzustellen. Damit wird gewährleistet, dass die Rechte, die Sicherheit und das Wohlergehen der betroffenen Person geschützt werden und die Ergebnisse der klinischen Prüfung glaubwürdig sind.</w:t>
      </w:r>
    </w:p>
    <w:p>
      <w:r>
        <w:t xml:space="preserve">(2) Bei klinischen Prüfungen mit Arzneimitteln, die aus einem gentechnisch veränderten Organismus oder einer Kombination von gentechnisch veränderten Organismen bestehen oder solche enthalten, bezweckt diese Verordnung darüber hinaus den Schutz der Gesundheit nicht betroffener Personen und der Umwelt in ihrem Wirkungsgefüge.</w:t>
      </w:r>
    </w:p>
    <w:p>
      <w:r>
        <w:rPr>
          <w:color w:val="555555"/>
          <w:sz w:val="17"/>
        </w:rPr>
        <w:t xml:space="preserve">Zitiervorschlag: § 1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