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GBZugV 2011</w:t>
      </w:r>
    </w:p>
    <w:p>
      <w:r>
        <w:rPr>
          <w:color w:val="555555"/>
          <w:sz w:val="18"/>
        </w:rPr>
        <w:t xml:space="preserve">Berufszugangsverordnung für den Güterkraftverkehr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6 und des § 23 Absatz 3 des Güterkraftverkehrsgesetzes vom 22. Juni 1998 (BGBl. I S. 1485), von denen § 3 Absatz 6 durch Artikel 1 Nummer 4 Buchstabe e des Gesetzes vom 22. November 2011 (BGBl. I S. 2272) und § 23 Absatz 3 durch Artikel 1 Nummer 24 Buchstabe b des Gesetzes vom 22. November 2011 (BGBl. I S. 2272) geändert worden ist,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GBZugV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https://recht.nulegal.eu/gesetze/GBZugV%202011/eingangsformel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