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GBZugV 2011 — Finanzielle Leistungsfähigkeit</w:t>
      </w:r>
    </w:p>
    <w:p>
      <w:r>
        <w:rPr>
          <w:color w:val="555555"/>
          <w:sz w:val="18"/>
        </w:rPr>
        <w:t xml:space="preserve">Berufszugangsverordnung für den Güterkraftverkehr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Unternehmer besitzt die erforderliche finanzielle Leistungsfähigkeit, wenn er die Voraussetzungen des Artikels 7 der Verordnung (EG) Nr. 1071/2009 erfüllt.</w:t>
      </w:r>
    </w:p>
    <w:p>
      <w:r>
        <w:rPr>
          <w:color w:val="555555"/>
          <w:sz w:val="17"/>
        </w:rPr>
        <w:t xml:space="preserve">Zitiervorschlag: § 3 GBZugV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https://recht.nulegal.eu/gesetze/GBZugV%202011/3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