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GBVfg</w:t>
      </w:r>
    </w:p>
    <w:p>
      <w:r>
        <w:rPr>
          <w:color w:val="555555"/>
          <w:sz w:val="18"/>
        </w:rPr>
        <w:t xml:space="preserve">Grundbuchverfügung</w:t>
      </w:r>
    </w:p>
    <w:p>
      <w:r>
        <w:rPr>
          <w:color w:val="555555"/>
          <w:sz w:val="18"/>
        </w:rPr>
        <w:t xml:space="preserve">Stand: 10.06.2019 (konsolidierte Textfassung, kein amtliches Inkrafttretensdatum)</w:t>
      </w:r>
    </w:p>
    <w:p>
      <w:r>
        <w:t xml:space="preserve">(1) In der ersten Abteilung sind einzutragen:</w:t>
      </w:r>
    </w:p>
    <w:p>
      <w:pPr>
        <w:ind w:left="420"/>
      </w:pPr>
      <w:r>
        <w:t xml:space="preserve">a) in Spalte 1: die laufende Nummer der unter Buchstabe b vorgesehenen Eintragung. Mehrere Eigentümer, die in einem Verhältnis der in § 47 der Grundbuchordnung genannten Art stehen, sollen entsprechend dem Beispiel 1 in DIN 1421, Ausgabe Januar 1983[*], nummeriert werden;</w:t>
      </w:r>
    </w:p>
    <w:p>
      <w:pPr>
        <w:ind w:left="420"/>
      </w:pPr>
      <w:r>
        <w:t xml:space="preserve">b) in Spalte 2: der Eigentümer, bei mehreren gemeinschaftlichen Eigentümern auch die in § 47 der Grundbuchordnung vorgeschriebene Angabe; besteht zwischen mehreren Eigentümern kein Rechtsverhältnis der in § 47 der Grundbuchordnung genannten Art, so ist bei den Namen der Eigentümer der Inhalt ihres Rechts anzugeben;</w:t>
      </w:r>
    </w:p>
    <w:p>
      <w:pPr>
        <w:ind w:left="420"/>
      </w:pPr>
      <w:r>
        <w:t xml:space="preserve">c) in Spalte 3: die laufende Nummer der Grundstücke, auf die sich die in Spalte 4 enthaltenen Eintragungen beziehen;</w:t>
      </w:r>
    </w:p>
    <w:p>
      <w:pPr>
        <w:ind w:left="420"/>
      </w:pPr>
      <w:r>
        <w:t xml:space="preserve">d) in Spalte 4: der Tag der Auflassung oder die anderweitige Grundlage der Eintragung (Erbschein, Europäisches Nachlasszeugnis, Testament, Zuschlagsbeschluß, Bewilligung der Berichtigung des Grundbuchs, Ersuchen der zuständigen Behörde, Enteignungsbeschluß usw.), der Verzicht auf das Eigentum an einem Grundstück (§ 928 Abs. 1 BGB) und der Tag der Eintragung.</w:t>
      </w:r>
    </w:p>
    <w:p>
      <w:r>
        <w:t xml:space="preserve">(2) Die Eintragung eines neuen Eigentümers ist auch in den Fällen des Ausscheidens eines Grundstücks aus dem Grundbuch sowie der Einbuchung eines Grundstücks in das Grundbuch in der ersten Abteilung vorzunehmen.</w:t>
      </w:r>
    </w:p>
    <w:p>
      <w:r>
        <w:t xml:space="preserve">* Zu beziehen bei Beuth Verlag GmbH, Berlin, und archivmäßig niedergelegt bei der Deutschen Nationalbibliothek.</w:t>
      </w:r>
    </w:p>
    <w:p>
      <w:r>
        <w:rPr>
          <w:color w:val="555555"/>
          <w:sz w:val="17"/>
        </w:rPr>
        <w:t xml:space="preserve">Zitiervorschlag: § 9 GBVfg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https://recht.nulegal.eu/gesetze/GBVfg/9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GBVfg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