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GBVfg — Verfahren bei Schuldurkunden</w:t>
      </w:r>
    </w:p>
    <w:p>
      <w:r>
        <w:rPr>
          <w:color w:val="555555"/>
          <w:sz w:val="18"/>
        </w:rPr>
        <w:t xml:space="preserve">Grundbuchverfügung</w:t>
      </w:r>
    </w:p>
    <w:p>
      <w:r>
        <w:rPr>
          <w:color w:val="555555"/>
          <w:sz w:val="18"/>
        </w:rPr>
        <w:t xml:space="preserve">Stand: 10.06.2019 (konsolidierte Textfassung, kein amtliches Inkrafttretensdatum)</w:t>
      </w:r>
    </w:p>
    <w:p>
      <w:r>
        <w:t xml:space="preserve">Abweichend von § 58 und § 61 Abs. 2 Satz 3 der Grundbuchordnung muß ein Brief nicht mit einer für die Forderung ausgestellten Urkunde, Ausfertigung oder einem Auszug der Urkunde verbunden werden, wenn er maschinell hergestellt wird. In diesem Fall muß er den Aufdruck "Nicht ohne Vorlage der Urkunde für die Forderung gültig" enthalten.</w:t>
      </w:r>
    </w:p>
    <w:p>
      <w:r>
        <w:rPr>
          <w:color w:val="555555"/>
          <w:sz w:val="17"/>
        </w:rPr>
        <w:t xml:space="preserve">Zitiervorschlag: § 88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