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85a GBVfg — Protokollierung der Mitteilung des Grundbuchinhalts durch den Notar</w:t>
      </w:r>
    </w:p>
    <w:p>
      <w:r>
        <w:rPr>
          <w:color w:val="555555"/>
          <w:sz w:val="18"/>
        </w:rPr>
        <w:t xml:space="preserve">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Protokoll, das nach § 133a Absatz 3 Satz 1 der Grundbuchordnung über die Mitteilung des Grundbuchinhalts durch den Notar zu führen ist, muss enthalten:</w:t>
      </w:r>
    </w:p>
    <w:p>
      <w:pPr>
        <w:ind w:left="420"/>
      </w:pPr>
      <w:r>
        <w:t xml:space="preserve">1. das Datum der Mitteilung,</w:t>
      </w:r>
    </w:p>
    <w:p>
      <w:pPr>
        <w:ind w:left="420"/>
      </w:pPr>
      <w:r>
        <w:t xml:space="preserve">2. die Bezeichnung des Grundbuchblatts,</w:t>
      </w:r>
    </w:p>
    <w:p>
      <w:pPr>
        <w:ind w:left="420"/>
      </w:pPr>
      <w:r>
        <w:t xml:space="preserve">3. die Bezeichnung der Person, der der Grundbuchinhalt mitgeteilt wurde, und gegebenenfalls die Bezeichnung der von dieser vertretenen Person oder Stelle und</w:t>
      </w:r>
    </w:p>
    <w:p>
      <w:pPr>
        <w:ind w:left="420"/>
      </w:pPr>
      <w:r>
        <w:t xml:space="preserve">4. die Angabe, ob ein Grundbuchabdruck erteilt wurde.</w:t>
      </w:r>
    </w:p>
    <w:p>
      <w:r>
        <w:t xml:space="preserve">(2) Das Protokoll darf nur für die Überprüfung der Rechtmäßigkeit der Mitteilung sowie die Unterrichtung des Eigentümers des Grundstücks oder des Inhabers eines grundstücksgleichen Rechts nach § 133a Absatz 3 Satz 2 der Grundbuchordnung verwendet werden. § 83 Absatz 2 Satz 6 und Absatz 3 gilt entsprechend.</w:t>
      </w:r>
    </w:p>
    <w:p>
      <w:r>
        <w:rPr>
          <w:color w:val="555555"/>
          <w:sz w:val="17"/>
        </w:rPr>
        <w:t xml:space="preserve">Zitiervorschlag: § 85a GBVfg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https://recht.nulegal.eu/gesetze/GBVfg/85a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