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80 GBVfg — Abruf von Daten</w:t>
      </w:r>
    </w:p>
    <w:p>
      <w:r>
        <w:rPr>
          <w:color w:val="555555"/>
          <w:sz w:val="18"/>
        </w:rPr>
        <w:t xml:space="preserve">Grundbuchverfügung</w:t>
      </w:r>
    </w:p>
    <w:p>
      <w:r>
        <w:rPr>
          <w:color w:val="555555"/>
          <w:sz w:val="18"/>
        </w:rPr>
        <w:t xml:space="preserve">Stand: 10.12.2019 (konsolidierte Textfassung, kein amtliches Inkrafttretensdatum)</w:t>
      </w:r>
    </w:p>
    <w:p>
      <w:r>
        <w:t xml:space="preserve">(1) Die Gewährung des Abrufs von Daten im automatisierten Verfahren nach § 133 der Grundbuchordnung berechtigt insbesondere zur Einsichtnahme in das Grundbuch in dem durch die §§ 12 und 12b der Grundbuchordnung und in dieser Verordnung bestimmten Umfang sowie zur Fertigung von Abdrucken des Grundbuchblatts. Wird die Abrufberechtigung einer nicht-öffentlichen Stelle gewährt, ist diese in der Genehmigung oder dem Vertrag (§ 133 der Grundbuchordnung) darauf hinzuweisen, daß sie die abgerufenen Daten nur zu dem Zweck verarbeiten darf, für den sie ihr übermittelt worden sind.</w:t>
      </w:r>
    </w:p>
    <w:p>
      <w:r>
        <w:t xml:space="preserve">(2) Die Grundbuchdaten können auch für Darstellungsformen bereitgestellt werden, die von den in dieser Verordnung und in der Wohnungsgrundbuchverfügung vorgeschriebenen Mustern abweichen, oder in strukturierter maschinenlesbarer Form bereitgestellt werden. Insbesondere sind auszugsweise Darstellungen, Hervorhebungen von Teilen des Grundbuchinhalts sowie Zusammenstellungen aus verschiedenen Grundbuchblättern zulässig. Im Abrufverfahren können auch Informationen über den Zeitpunkt der jüngsten Eintragung in einem Grundbuchblatt bereitgestellt werden.</w:t>
      </w:r>
    </w:p>
    <w:p>
      <w:r>
        <w:rPr>
          <w:color w:val="555555"/>
          <w:sz w:val="17"/>
        </w:rPr>
        <w:t xml:space="preserve">Zitiervorschlag: § 80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80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