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GBVfg — Äußere Form der Eintragung</w:t>
      </w:r>
    </w:p>
    <w:p>
      <w:r>
        <w:rPr>
          <w:color w:val="555555"/>
          <w:sz w:val="18"/>
        </w:rPr>
        <w:t xml:space="preserve">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äußere Form der Wiedergabe einer Eintragung bestimmt sich nach dem Abschnitt III. § 63 Satz 3 bleibt unberührt.</w:t>
      </w:r>
    </w:p>
    <w:p>
      <w:r>
        <w:rPr>
          <w:color w:val="555555"/>
          <w:sz w:val="17"/>
        </w:rPr>
        <w:t xml:space="preserve">Zitiervorschlag: § 76 GBVfg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https://recht.nulegal.eu/gesetze/GBVfg/76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