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71a GBVfg — Anlegung des Datenbankgrundbuchs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Anlegung des Datenbankgrundbuchs erfolgt durch Neufassung. Die §§ 69 und 71 gelten sinngemäß, soweit nachfolgend nichts Abweichendes bestimmt ist.</w:t>
      </w:r>
    </w:p>
    <w:p>
      <w:r>
        <w:t xml:space="preserve">(2) Bei der Anlegung des Datenbankgrundbuchs gilt § 69 Absatz 2 Satz 2 mit folgenden Maßgaben:</w:t>
      </w:r>
    </w:p>
    <w:p>
      <w:pPr>
        <w:ind w:left="420"/>
      </w:pPr>
      <w:r>
        <w:t xml:space="preserve">1. Text und Form der Eintragungen sind an die für Eintragungen in das Datenbankgrundbuch geltenden Vorgaben anzupassen;</w:t>
      </w:r>
    </w:p>
    <w:p>
      <w:pPr>
        <w:ind w:left="420"/>
      </w:pPr>
      <w:r>
        <w:t xml:space="preserve">2. Änderungen der tatsächlichen Beschreibung des Grundstücks, die von der für die Führung des Liegenschaftskatasters zuständigen Stelle mitgeteilt wurden, sollen übernommen werden;</w:t>
      </w:r>
    </w:p>
    <w:p>
      <w:pPr>
        <w:ind w:left="420"/>
      </w:pPr>
      <w:r>
        <w:t xml:space="preserve">3. in Eintragungen in der zweiten und dritten Abteilung des Grundbuchs sollen die Angaben zu den betroffenen Grundstücken und sonstigen Belastungsgegenständen aktualisiert werden; bei Rechten, die dem jeweiligen Eigentümer eines Grundstücks zustehen, sollen zudem die Angaben zum herrschenden Grundstück und in Vermerken nach § 9 der Grundbuchordnung die Angaben zum belasteten Grundstück aktualisiert werden;</w:t>
      </w:r>
    </w:p>
    <w:p>
      <w:pPr>
        <w:ind w:left="420"/>
      </w:pPr>
      <w:r>
        <w:t xml:space="preserve">4. die Bezugnahme auf die Eintragungsbewilligung oder andere Unterlagen kann um die Angaben nach § 44 Absatz 2 Satz 2 der Grundbuchordnung ergänzt werden;</w:t>
      </w:r>
    </w:p>
    <w:p>
      <w:pPr>
        <w:ind w:left="420"/>
      </w:pPr>
      <w:r>
        <w:t xml:space="preserve">5. Geldbeträge in Rechten und sonstigen Vermerken, die in einer früheren Währung eines Staates bezeichnet sind, der an der einheitlichen europäischen Währung teilnimmt, sollen auf Euro umgestellt werden;</w:t>
      </w:r>
    </w:p>
    <w:p>
      <w:pPr>
        <w:ind w:left="420"/>
      </w:pPr>
      <w:r>
        <w:t xml:space="preserve">6. die aus der Teilung von Grundpfandrechten entstandenen Rechte sollen jeweils gesondert in die Hauptspalte der dritten Abteilung übernommen werden; für die Nummerierung der Rechte gilt § 17 Absatz 4 entsprechend.</w:t>
      </w:r>
    </w:p>
    <w:p>
      <w:r>
        <w:t xml:space="preserve">Betrifft die Neufassung ein Grundpfandrecht, für das ein Brief erteilt wurde, bedarf es nicht der Vorlage des Briefs; die Neufassung wird auf dem Brief nicht vermerkt, es sei denn, der Vermerk wird ausdrücklich beantragt.</w:t>
      </w:r>
    </w:p>
    <w:p>
      <w:r>
        <w:t xml:space="preserve">(3) Die §§ 29 und 69 Absatz 4 sind nicht anzuwenden.</w:t>
      </w:r>
    </w:p>
    <w:p>
      <w:r>
        <w:t xml:space="preserve">(4) Der Freigabevermerk lautet wie folgt: „Dieses Blatt ist zur Fortführung als Datenbankgrundbuch neu gefasst worden und an die Stelle des bisherigen Blattes getreten. Freigegeben am/zum …“. In der Aufschrift des bisherigen Blattes ist folgender Vermerk anzubringen: „Zur Fortführung als Datenbankgrundbuch neu gefasst und geschlossen am/zum …“. Den Vermerken ist jeweils der Name der veranlassenden Person hinzuzufügen. Werden nur einzelne Teile des Grundbuchblatts neu gefasst, ist dies bei den betroffenen Eintragungen zu vermerken.</w:t>
      </w:r>
    </w:p>
    <w:p>
      <w:r>
        <w:rPr>
          <w:color w:val="555555"/>
          <w:sz w:val="17"/>
        </w:rPr>
        <w:t xml:space="preserve">Zitiervorschlag: § 71a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https://recht.nulegal.eu/gesetze/GBVfg/71a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71a GBVfg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