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 GBVfg — Anlegung des maschinell geführten Grundbuchs durch Umstellung</w:t>
      </w:r>
    </w:p>
    <w:p>
      <w:r>
        <w:rPr>
          <w:color w:val="555555"/>
          <w:sz w:val="18"/>
        </w:rPr>
        <w:t xml:space="preserve">Grundbuchverfügung</w:t>
      </w:r>
    </w:p>
    <w:p>
      <w:r>
        <w:rPr>
          <w:color w:val="555555"/>
          <w:sz w:val="18"/>
        </w:rPr>
        <w:t xml:space="preserve">Stand: 10.06.2019 (konsolidierte Textfassung, kein amtliches Inkrafttretensdatum)</w:t>
      </w:r>
    </w:p>
    <w:p>
      <w:r>
        <w:t xml:space="preserve">(1) Die Anlegung eines maschinell geführten Grundbuchs kann auch durch Umstellung erfolgen. Dazu ist der Inhalt des bisherigen Blattes elektronisch in den für das maschinell geführte Grundbuch bestimmten Datenspeicher aufzunehmen. Die Umstellung kann auch dadurch erfolgen, daß ein Datenspeicher mit dem Grundbuchinhalt zum Datenspeicher des maschinell geführten Grundbuchs bestimmt wird (§ 62 Absatz 1). Die Speicherung des Schriftzugs von Unterschriften ist dabei nicht notwendig.</w:t>
      </w:r>
    </w:p>
    <w:p>
      <w:r>
        <w:t xml:space="preserve">(2) § 108 Abs. 2 Satz 1, Abs. 4, Abs. 5 Satz 1, Abs. 7 und § 36 Buchstabe b gelten entsprechend. Das geschlossene Grundbuch muß deutlich sichtbar als geschlossen kenntlich gemacht werden. Sämtliche Grundbuchblätter eines Grundbuchbandes oder eines Grundbuchamtes können durch einen gemeinsamen Schließungsvermerk geschlossen werden, wenn die Blätter eines jeden Bandes in mißbrauchssicherer Weise verbunden werden. Der Schließungsvermerk oder eine Abschrift des Schließungsvermerks ist in diesem Fall auf der vorderen Außenseite eines jeden Bandes oder an vergleichbarer Stelle anzubringen. Die Schließung muß nicht in unmittelbarem zeitlichen Zusammenhang mit der Freigabe erfolgen; das Grundbuchamt stellt in diesem Fall sicher, daß in das bisherige Grundbuchblatt keine Eintragungen vorgenommen werden und bei der Gewährung von Einsicht und der Erteilung von Abschriften aus dem bisherigen Grundbuchblatt in geeigneter Weise auf die Schließung hingewiesen wird.</w:t>
      </w:r>
    </w:p>
    <w:p>
      <w:r>
        <w:rPr>
          <w:color w:val="555555"/>
          <w:sz w:val="17"/>
        </w:rPr>
        <w:t xml:space="preserve">Zitiervorschlag: § 70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