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GBVfg — Festlegung der Anlegungsverfahren</w:t>
      </w:r>
    </w:p>
    <w:p>
      <w:r>
        <w:rPr>
          <w:color w:val="555555"/>
          <w:sz w:val="18"/>
        </w:rPr>
        <w:t xml:space="preserve">Grundbuchverfügung</w:t>
      </w:r>
    </w:p>
    <w:p>
      <w:r>
        <w:rPr>
          <w:color w:val="555555"/>
          <w:sz w:val="18"/>
        </w:rPr>
        <w:t xml:space="preserve">Stand: 10.06.2019 (konsolidierte Textfassung, kein amtliches Inkrafttretensdatum)</w:t>
      </w:r>
    </w:p>
    <w:p>
      <w:r>
        <w:t xml:space="preserve">Das Grundbuchamt entscheidet nach pflichtgemäßen Ermessen, ob es das maschinell geführte Grundbuch durch Umschreibung nach § 68, durch Neufassung nach § 69 oder durch Umstellung nach § 70 anlegt. Die Landesregierungen oder die von diesen ermächtigen Landesjustizverwaltungen können in der Verordnung nach § 126 Abs. 1 Satz 1 der Grundbuchordnung die Anwendung eines der genannten Verfahren ganz oder teilweise vorschreiben. Sie können hierbei auch unterschiedliche Bestimmungen treffen. Der in dem Muster der Anlage 2b zu dieser Verordnung vorgesehene Vermerk in der Aufschrift des neu anzulegenden Blattes wird durch den Freigabevermerk, der in dem Muster der Anlage 2a zu dieser Verordnung vorgesehene Vermerk in der Aufschrift des abgeschriebenen Blattes wird durch den Abschreibevermerk nach § 71 ersetzt.</w:t>
      </w:r>
    </w:p>
    <w:p>
      <w:r>
        <w:rPr>
          <w:color w:val="555555"/>
          <w:sz w:val="17"/>
        </w:rPr>
        <w:t xml:space="preserve">Zitiervorschlag: § 67 GBVfg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https://recht.nulegal.eu/gesetze/GBVfg/67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