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GBVfg — Anforderungen an Anlagen und Programme</w:t>
      </w:r>
    </w:p>
    <w:p>
      <w:r>
        <w:rPr>
          <w:color w:val="555555"/>
          <w:sz w:val="18"/>
        </w:rPr>
        <w:t xml:space="preserve">Grundbuchverfügung</w:t>
      </w:r>
    </w:p>
    <w:p>
      <w:r>
        <w:rPr>
          <w:color w:val="555555"/>
          <w:sz w:val="18"/>
        </w:rPr>
        <w:t xml:space="preserve">Stand: 15.05.2025 (konsolidierte Textfassung, kein amtliches Inkrafttretensdatum)</w:t>
      </w:r>
    </w:p>
    <w:p>
      <w:r>
        <w:t xml:space="preserve">(1) Für das maschinell geführte Grundbuch dürfen nur Anlagen und Programme verwendet werden, die den bestehenden inländischen oder international anerkannten technischen Anforderungen an die maschinell geführte Verarbeitung geschützter Daten entsprechen. Sie sollen über die in Absatz 2 bezeichneten Grundfunktionen verfügen. Das Vorliegen dieser Voraussetzungen ist, soweit es nicht durch ein inländisches oder ausländisches Prüfzeugnis bescheinigt wird, durch die zuständige Landesjustizverwaltung in geeigneter Weise festzustellen.</w:t>
      </w:r>
    </w:p>
    <w:p>
      <w:r>
        <w:t xml:space="preserve">(2) Das eingesetzte Datenverarbeitungssystem soll gewährleisten, daß</w:t>
      </w:r>
    </w:p>
    <w:p>
      <w:pPr>
        <w:ind w:left="420"/>
      </w:pPr>
      <w:r>
        <w:t xml:space="preserve">1. seine Funktionen nur genutzt werden können, wenn sich der Benutzter dem System gegenüber identifiziert und authentisiert (Identifikation und Authentisierung),</w:t>
      </w:r>
    </w:p>
    <w:p>
      <w:pPr>
        <w:ind w:left="420"/>
      </w:pPr>
      <w:r>
        <w:t xml:space="preserve">2. die eingeräumten Benutzungsrechte im System verwaltet werden (Berechtigungsverwaltung),</w:t>
      </w:r>
    </w:p>
    <w:p>
      <w:pPr>
        <w:ind w:left="420"/>
      </w:pPr>
      <w:r>
        <w:t xml:space="preserve">3. die eingeräumten Benutzungsrechte von dem System geprüft werden (Berechtigungsprüfung),</w:t>
      </w:r>
    </w:p>
    <w:p>
      <w:pPr>
        <w:ind w:left="420"/>
      </w:pPr>
      <w:r>
        <w:t xml:space="preserve">4. die Vornahme von Veränderungen und Ergänzungen des maschinell geführten Grundbuchs im System protokolliert wird (Beweissicherung),</w:t>
      </w:r>
    </w:p>
    <w:p>
      <w:pPr>
        <w:ind w:left="420"/>
      </w:pPr>
      <w:r>
        <w:t xml:space="preserve">5. eingesetzte Subsysteme ohne Sicherheitsrisiken wiederhergestellt werden können (Wiederaufbereitung),</w:t>
      </w:r>
    </w:p>
    <w:p>
      <w:pPr>
        <w:ind w:left="420"/>
      </w:pPr>
      <w:r>
        <w:t xml:space="preserve">6. etwaige Verfälschungen der gespeicherten Daten durch Fehlfunktionen des Systems durch geeignete technische Prüfmechanismen rechtzeitig bemerkt werden können (Unverfälschtheit),</w:t>
      </w:r>
    </w:p>
    <w:p>
      <w:pPr>
        <w:ind w:left="420"/>
      </w:pPr>
      <w:r>
        <w:t xml:space="preserve">7. die Funktionen des Systems fehlerfrei ablaufen und auftretende Fehlfunktionen unverzüglich gemeldet werden (Verläßlichkeit der Dienstleistung),</w:t>
      </w:r>
    </w:p>
    <w:p>
      <w:pPr>
        <w:ind w:left="420"/>
      </w:pPr>
      <w:r>
        <w:t xml:space="preserve">8. der Austausch von Daten aus dem oder für das Grundbuch im System und bei Einsatz öffentlicher Netze sicher erfolgen kann (Übertragungssicherheit).</w:t>
      </w:r>
    </w:p>
    <w:p>
      <w:r>
        <w:t xml:space="preserve">Das System soll nach Möglichkeit Grundbuchdaten übernehmen können, die in Systemen gespeichert sind, die die Führung des Grundbuchs in Papierform unterstützen.</w:t>
      </w:r>
    </w:p>
    <w:p>
      <w:r>
        <w:rPr>
          <w:color w:val="555555"/>
          <w:sz w:val="17"/>
        </w:rPr>
        <w:t xml:space="preserve">Zitiervorschlag: § 64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