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GBVfg</w:t>
      </w:r>
    </w:p>
    <w:p>
      <w:r>
        <w:rPr>
          <w:color w:val="555555"/>
          <w:sz w:val="18"/>
        </w:rPr>
        <w:t xml:space="preserve">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Erbbaugrundbuchblatt erhält die nächste fortlaufende Nummer des Grundbuchs, in dem das belastete Grundstück verzeichnet ist.</w:t>
      </w:r>
    </w:p>
    <w:p>
      <w:r>
        <w:t xml:space="preserve">(2) In der Aufschrift ist unter die Blattnummer in Klammern das Wort "Erbbaugrundbuch" zu setzen.</w:t>
      </w:r>
    </w:p>
    <w:p>
      <w:r>
        <w:rPr>
          <w:color w:val="555555"/>
          <w:sz w:val="17"/>
        </w:rPr>
        <w:t xml:space="preserve">Zitiervorschlag: § 55 GBVfg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https://recht.nulegal.eu/gesetze/GBVfg/55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