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52 GBVfg</w:t>
      </w:r>
    </w:p>
    <w:p>
      <w:r>
        <w:rPr>
          <w:color w:val="555555"/>
          <w:sz w:val="18"/>
        </w:rPr>
        <w:t xml:space="preserve">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Hypotheken-, Grundschuld- und Rentenschuldbriefe dienen die Anlagen 3 bis 8 als Muster.</w:t>
      </w:r>
    </w:p>
    <w:p>
      <w:r>
        <w:t xml:space="preserve">(2) Für die Ausfertigung der Hypotheken-, Grundschuld- und Rentenschuldbriefe sind die amtlich ausgegebenen, mit laufenden Nummern versehenen Vordrucke nach näherer Anweisung der Landesjustizverwaltung zu verwenden.</w:t>
      </w:r>
    </w:p>
    <w:p>
      <w:r>
        <w:rPr>
          <w:color w:val="555555"/>
          <w:sz w:val="17"/>
        </w:rPr>
        <w:t xml:space="preserve">Zitiervorschlag: § 52 GBVfg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https://recht.nulegal.eu/gesetze/GBVfg/52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52 GBVfg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