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47 GBVfg</w:t>
      </w:r>
    </w:p>
    <w:p>
      <w:r>
        <w:rPr>
          <w:color w:val="555555"/>
          <w:sz w:val="18"/>
        </w:rPr>
        <w:t xml:space="preserve">Grundbuchverfügung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Hypothekenbriefe sind mit einer Überschrift zu versehen, welche die Worte "Deutscher Hypothekenbrief" und die Bezeichnung der Hypothek (§ 56 Abs. 1 der Grundbuchordnung) enthält, über die der Brief erteilt wird. Die laufende Nummer, unter der die Hypothek in der dritten Abteilung des Grundbuchs eingetragen ist, ist dabei in Buchstaben zu wiederholen.</w:t>
      </w:r>
    </w:p>
    <w:p>
      <w:r>
        <w:rPr>
          <w:color w:val="555555"/>
          <w:sz w:val="17"/>
        </w:rPr>
        <w:t xml:space="preserve">Zitiervorschlag: § 47 GBVfg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https://recht.nulegal.eu/gesetze/GBVfg/47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