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GBVfg</w:t>
      </w:r>
    </w:p>
    <w:p>
      <w:r>
        <w:rPr>
          <w:color w:val="555555"/>
          <w:sz w:val="18"/>
        </w:rPr>
        <w:t xml:space="preserve">Grundbuchverfügung</w:t>
      </w:r>
    </w:p>
    <w:p>
      <w:r>
        <w:rPr>
          <w:color w:val="555555"/>
          <w:sz w:val="18"/>
        </w:rPr>
        <w:t xml:space="preserve">Stand: 10.06.2019 (konsolidierte Textfassung, kein amtliches Inkrafttretensdatum)</w:t>
      </w:r>
    </w:p>
    <w:p>
      <w:r>
        <w:t xml:space="preserve">Die Umschreibung eines Grundbuchblatts ist dem Eigentümer, den eingetragenen dinglich Berechtigten und der Katasterbehörde (Flurbuchbehörde, Vermessungsbehörde) bekanntzugeben. Inwieweit hiermit eine Mitteilung von etwaigen Änderungen der Eintragungsvermerke zu verbinden ist, bleibt, unbeschadet der Vorschrift des § 55 der Grundbuchordnung, dem Ermessen der für die Führung des Grundbuchs zuständigen Person überlassen. Die Änderung der laufenden Nummern von Eintragungen (§ 30 Abs. 1 Buchstabe c Satz 3) ist dem Eigentümer stets, einem eingetragenen dinglich Berechtigten, wenn sich die laufende Nummer seines Rechts ändert oder die Änderung für ihn sonst von Bedeutung ist, bekanntzugeben. Ist über eine Hypothek, Grundschuld oder Rentenschuld ein Brief erteilt, so ist bei der Bekanntgabe der Gläubiger aufzufordern, den Brief zwecks Berichtigung, insbesondere der Nummer des Grundbuchblatts, dem Grundbuchamt alsbald einzureichen.</w:t>
      </w:r>
    </w:p>
    <w:p>
      <w:r>
        <w:rPr>
          <w:color w:val="555555"/>
          <w:sz w:val="17"/>
        </w:rPr>
        <w:t xml:space="preserve">Zitiervorschlag: § 39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